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70A" w:rsidRDefault="002055E8" w:rsidP="001546DA">
      <w:pPr>
        <w:tabs>
          <w:tab w:val="left" w:pos="1913"/>
          <w:tab w:val="left" w:pos="7938"/>
        </w:tabs>
        <w:spacing w:after="0" w:line="120" w:lineRule="auto"/>
        <w:ind w:right="-29"/>
        <w:rPr>
          <w:b/>
          <w:color w:val="1F497D" w:themeColor="text2"/>
          <w:sz w:val="26"/>
          <w:szCs w:val="26"/>
        </w:rPr>
      </w:pPr>
      <w:bookmarkStart w:id="0" w:name="_GoBack"/>
      <w:bookmarkEnd w:id="0"/>
      <w:r w:rsidRPr="002055E8">
        <w:rPr>
          <w:b/>
          <w:noProof/>
          <w:color w:val="1F497D" w:themeColor="text2"/>
          <w:sz w:val="26"/>
          <w:szCs w:val="26"/>
        </w:rPr>
        <w:drawing>
          <wp:anchor distT="0" distB="0" distL="114300" distR="114300" simplePos="0" relativeHeight="251660800" behindDoc="0" locked="0" layoutInCell="1" allowOverlap="1">
            <wp:simplePos x="0" y="0"/>
            <wp:positionH relativeFrom="margin">
              <wp:posOffset>4932045</wp:posOffset>
            </wp:positionH>
            <wp:positionV relativeFrom="paragraph">
              <wp:posOffset>1905</wp:posOffset>
            </wp:positionV>
            <wp:extent cx="1710690" cy="429895"/>
            <wp:effectExtent l="0" t="0" r="3810" b="8255"/>
            <wp:wrapTopAndBottom/>
            <wp:docPr id="13" name="Εικόνα 13" descr="Y:\PRESS OFFICE\mantziou\xorigoi_weekly\ot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ESS OFFICE\mantziou\xorigoi_weekly\ote_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690" cy="429895"/>
                    </a:xfrm>
                    <a:prstGeom prst="rect">
                      <a:avLst/>
                    </a:prstGeom>
                    <a:noFill/>
                    <a:ln>
                      <a:noFill/>
                    </a:ln>
                  </pic:spPr>
                </pic:pic>
              </a:graphicData>
            </a:graphic>
          </wp:anchor>
        </w:drawing>
      </w:r>
    </w:p>
    <w:p w:rsidR="00CA12D4" w:rsidRPr="00F22386" w:rsidRDefault="00E76A56" w:rsidP="00E33D71">
      <w:pPr>
        <w:shd w:val="clear" w:color="auto" w:fill="D9D9D9" w:themeFill="background1" w:themeFillShade="D9"/>
        <w:tabs>
          <w:tab w:val="left" w:pos="1913"/>
          <w:tab w:val="left" w:pos="8222"/>
        </w:tabs>
        <w:spacing w:after="0" w:line="216" w:lineRule="auto"/>
        <w:ind w:right="-24"/>
        <w:rPr>
          <w:b/>
          <w:color w:val="1F497D" w:themeColor="text2"/>
          <w:sz w:val="26"/>
          <w:szCs w:val="26"/>
        </w:rPr>
      </w:pPr>
      <w:r w:rsidRPr="00E76A56">
        <w:rPr>
          <w:b/>
          <w:color w:val="1F497D" w:themeColor="text2"/>
          <w:sz w:val="26"/>
          <w:szCs w:val="26"/>
        </w:rPr>
        <w:t>Εδώ είναι Βαλκάνια, δεν είναι παίξε-γέλασε!</w:t>
      </w:r>
      <w:r w:rsidR="00E33D71">
        <w:rPr>
          <w:b/>
          <w:color w:val="1F497D" w:themeColor="text2"/>
          <w:sz w:val="26"/>
          <w:szCs w:val="26"/>
        </w:rPr>
        <w:tab/>
        <w:t>6</w:t>
      </w:r>
      <w:r w:rsidR="007504A7">
        <w:rPr>
          <w:b/>
          <w:color w:val="1F497D" w:themeColor="text2"/>
          <w:sz w:val="26"/>
          <w:szCs w:val="26"/>
        </w:rPr>
        <w:t xml:space="preserve"> </w:t>
      </w:r>
      <w:r w:rsidR="00B07FFC">
        <w:rPr>
          <w:b/>
          <w:color w:val="1F497D" w:themeColor="text2"/>
          <w:sz w:val="26"/>
          <w:szCs w:val="26"/>
        </w:rPr>
        <w:t>Οκτωβρίου</w:t>
      </w:r>
      <w:r w:rsidR="00700225" w:rsidRPr="00F22386">
        <w:rPr>
          <w:b/>
          <w:color w:val="1F497D" w:themeColor="text2"/>
          <w:sz w:val="26"/>
          <w:szCs w:val="26"/>
        </w:rPr>
        <w:t xml:space="preserve"> 2016</w:t>
      </w:r>
    </w:p>
    <w:tbl>
      <w:tblPr>
        <w:tblStyle w:val="a6"/>
        <w:tblW w:w="10484"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8"/>
        <w:gridCol w:w="7196"/>
      </w:tblGrid>
      <w:tr w:rsidR="008D0EA3" w:rsidRPr="007B626E" w:rsidTr="00F006DB">
        <w:trPr>
          <w:cantSplit/>
          <w:trHeight w:val="7589"/>
        </w:trPr>
        <w:tc>
          <w:tcPr>
            <w:tcW w:w="10484" w:type="dxa"/>
            <w:gridSpan w:val="2"/>
            <w:shd w:val="clear" w:color="auto" w:fill="auto"/>
          </w:tcPr>
          <w:p w:rsidR="006F424D" w:rsidRPr="006F424D" w:rsidRDefault="006F424D" w:rsidP="00E76A56">
            <w:pPr>
              <w:pStyle w:val="a8"/>
              <w:spacing w:before="80" w:after="120"/>
              <w:ind w:left="-80"/>
              <w:contextualSpacing w:val="0"/>
              <w:jc w:val="both"/>
              <w:rPr>
                <w:bCs/>
                <w:color w:val="7030A0"/>
                <w:sz w:val="17"/>
                <w:szCs w:val="17"/>
              </w:rPr>
            </w:pPr>
            <w:r w:rsidRPr="000D02DF">
              <w:rPr>
                <w:b/>
                <w:noProof/>
                <w:color w:val="595959" w:themeColor="text1" w:themeTint="A6"/>
                <w:sz w:val="28"/>
                <w:szCs w:val="28"/>
              </w:rPr>
              <w:t>Επισκόπηση</w:t>
            </w:r>
          </w:p>
          <w:p w:rsidR="003A2ED7" w:rsidRPr="00390036" w:rsidRDefault="003A2ED7" w:rsidP="003A2ED7">
            <w:pPr>
              <w:pStyle w:val="a8"/>
              <w:numPr>
                <w:ilvl w:val="0"/>
                <w:numId w:val="1"/>
              </w:numPr>
              <w:spacing w:line="192" w:lineRule="auto"/>
              <w:ind w:left="204" w:hanging="142"/>
              <w:jc w:val="both"/>
              <w:rPr>
                <w:b/>
                <w:noProof/>
                <w:color w:val="000000" w:themeColor="text1"/>
                <w:sz w:val="17"/>
                <w:szCs w:val="17"/>
              </w:rPr>
            </w:pPr>
            <w:r w:rsidRPr="00390036">
              <w:rPr>
                <w:b/>
                <w:noProof/>
                <w:color w:val="000000" w:themeColor="text1"/>
                <w:sz w:val="17"/>
                <w:szCs w:val="17"/>
              </w:rPr>
              <w:t xml:space="preserve">Δόθηκε στη δημοσιότητα το πόρισμα της Επιτροπής Εμπειρογνωμόνων, που συστάθηκε κατ’ επιταγήν του Μνημονίου, με σκοπό τη διαμόρφωση προτάσεων για την εφαρμογή στην Ελλάδα βέλτιστων διεθνώς πρακτικών στους τομείς των ομαδικών απολύσεων, της συλλογικής δράσης  και </w:t>
            </w:r>
            <w:r w:rsidR="005E5E26">
              <w:rPr>
                <w:b/>
                <w:noProof/>
                <w:color w:val="000000" w:themeColor="text1"/>
                <w:sz w:val="17"/>
                <w:szCs w:val="17"/>
              </w:rPr>
              <w:t>των συλλογικών διαπραγματεύσεων</w:t>
            </w:r>
            <w:r w:rsidRPr="00390036">
              <w:rPr>
                <w:b/>
                <w:noProof/>
                <w:color w:val="000000" w:themeColor="text1"/>
                <w:sz w:val="17"/>
                <w:szCs w:val="17"/>
              </w:rPr>
              <w:t>, με στόχο την προώθηση της διατηρήσιμης ανάπτυξης, χωρίς αποκλεισμούς  για όλους. Μεταξύ άλλων, προτείνεται η επεκτασιμότητα κλαδικών και ομοιοεπαγγελματικών συμβάσεων εργασίας να είναι δυνατή μόνον εφόσον η ΣΣΕ καλύπτει το 50% των εργαζομένων, με το κριτήριο αντιπροσωπευτικότητας να πιστοποιείται από αδιάβλητο μηχανισμό. Αναγνωρίζεται, επίσης, η ανάγκη, οι επιχειρησιακές να υπερισχύουν των κλαδικών/ομοιοεπαγγελματικών συμβάσεων, είτε καθολικώς (άποψη μειοψηφίας), είτε κατ’ εξαίρεση σε περίπτωση δυσχερειών και εφόσον έχει συμφωνηθεί ρήτρα προσωρινής απόκλισης (άποψη πλειοψηφίας). Σε κάθε περίπτωση αναγνωρίζεται ότι οι δύο πλευρές που συνομιλούν στο επίπεδο της επιχείρησης  κατανοούν τα ειδικότερα προβλήματα του χώρου τους και πρέπει να έχουν τη δυνατότητα να τα επιλύουν. Παραφωνία ακατανόητη, όμως, αποτελεί το γεγονός ότι η Επιτροπή παραγνώρισε τον καθοριστικό ρόλο που παίζει στο σύστημά μας μία θεμελιώδης στρέβλωση, η μονομερής προσφυγή στη διαιτησία που ακυρώνει στην πράξη αυτήν την ίδια την ελευθερία σύναψης συλλογικών συμβάσεων εργασίας, αποτελώντας διεθνή πρωτοτυπία για ανεπτυγμένη οικονομία. Σε κάθε περίπτωση, σε μία παγκόσμια οικονομία όπου η διαιτησία είναι κατά κανόνα συναινετική, κύριος σκοπός της είναι η  διαμόρφωση συνθηκών συναντίληψης μεταξύ των κοινωνικών εταίρων ως προς τις επιπτώσεις που έχουν οι συζητούμενες επιλογές για την ανταγωνιστικότητα και την απασχόληση στην εθνική οικονομία, στον κλάδο ή στην επιχείρηση. Η διαμόρφωση της συνδικαλιστικής πυκνότητας σε χαμηλό επίπεδο στην Ελλάδα (20%), καθώς και η υπερπληθώρα μικρών και μικρομεσαίων επιχειρήσεων στην αγορά, δεν είναι λόγοι για να προωθούνται αναγκαστικές ρυθμίσεις. Σημειώνεται ότι το ποσοστό κάλυψης των συλλογικών συμβάσεων ανέρχεται σε 88% στην Σουηδία και 40% στην Ελλάδα. Πολλές φορές, η διάρθρωση της αγοράς και η χαμηλή επιρροή των συνδικάτων είναι οι δύο όψεις ενός νομίσματος, δηλαδή των πιέσεων για τη διαμόρφωση των μισθών πέραν των αντοχών της οικονομίας. Σε ένα τέτοιο πλαίσιο, αποτελεί αμυντική επιλογή για μία επιχείρηση να παραμένει μικρή και εκτός της επίσημης οικονομίας (νόμιμης αγοράς εργασίας). Και αυτό, δυστυχώς, συμβαίνει κατά κόρον στην Ελλάδα.</w:t>
            </w:r>
          </w:p>
          <w:p w:rsidR="00A74637" w:rsidRDefault="003A2ED7" w:rsidP="00A74637">
            <w:pPr>
              <w:pStyle w:val="a8"/>
              <w:numPr>
                <w:ilvl w:val="0"/>
                <w:numId w:val="1"/>
              </w:numPr>
              <w:spacing w:line="192" w:lineRule="auto"/>
              <w:ind w:left="204" w:hanging="142"/>
              <w:jc w:val="both"/>
              <w:rPr>
                <w:b/>
                <w:noProof/>
                <w:color w:val="000000" w:themeColor="text1"/>
                <w:sz w:val="17"/>
                <w:szCs w:val="17"/>
              </w:rPr>
            </w:pPr>
            <w:r w:rsidRPr="00390036">
              <w:rPr>
                <w:b/>
                <w:noProof/>
                <w:color w:val="000000" w:themeColor="text1"/>
                <w:sz w:val="17"/>
                <w:szCs w:val="17"/>
              </w:rPr>
              <w:t>Ο Προϋπολογισμός του 2017 (Προσχέδιο) αποτυπώνει τη μεγαλύτερη αναδιανομή εισοδημάτων που έχει επιχειρηθεί ποτέ σε μία μόνο χρονιά. Πέραν της δημοσιονομικής προσαρμογής που στοχεύει στην αύξηση του πρωτογενούς πλεονάσματος της γενικής κυβέρνησης κατά 1,2 π.μ. του ΑΕΠ σε 1,8% του ΑΕΠ το 2017, ο προϋπολογισμός αφαιρεί αγοραστική δύναμη ύψους €2,5 δις (€3,1 δις την διετία 2016/2017) μέσω των φόρων, και €1 δις περίπου (€1,7 δις. των διετία 2016/2017) μέσω, κυρίως, των συντάξεων και των κοινωνικών δαπανών, πριν αντισταθμιστεί μερικώς το ισοζύγιο με αύξηση των δαπανών το 2017 κατά €871 εκατ. για τη θέσπιση του Εισοδήματος Κοινωνικής Αλληλεγγύης (€571 εκατ.) και για παρεμβάσεις στους τομείς της υγείας, της παιδείας και κοινωνικής προστασίας (€300 εκατ.)</w:t>
            </w:r>
            <w:r w:rsidR="00B62670">
              <w:rPr>
                <w:b/>
                <w:noProof/>
                <w:color w:val="000000" w:themeColor="text1"/>
                <w:sz w:val="17"/>
                <w:szCs w:val="17"/>
              </w:rPr>
              <w:t>.</w:t>
            </w:r>
            <w:r w:rsidRPr="00390036">
              <w:rPr>
                <w:b/>
                <w:noProof/>
                <w:color w:val="000000" w:themeColor="text1"/>
                <w:sz w:val="17"/>
                <w:szCs w:val="17"/>
              </w:rPr>
              <w:t xml:space="preserve"> Στην ουσία, επιχειρείται μία τεράστια αναδιανομή εισοδήματος και στα δύο άκρα των εισοδημάτων, με απρόβλεπτες επιπτώσεις. Από τη μια πλευρά στους φορολογούμενους, από τα υψηλότερα εισοδήματα προς τα χαμηλότερα (εδώ περιλαμβάνεται και η συμπαθής –προς κάθε κυβέρνηση- ομάδα των φοροφυγάδων) και από την άλλη πλευρά, από τους συνταξιούχους και τους επιδοματούχους του παλαιού συστήματος (όπου δεν υπήρχε διαχωρισμός προνοιακών και συνταξιοδοτικών παροχών) στους δικαιούχους του νέου συστήματος παροχών και κοινωνικών δαπανών.  Αναμένεται να δούμε στην πράξη εάν ο γάιδαρος του Χότζα (οι συνεπείς φορολογούμενοι και οι οργανωμένες επιχειρήσεις) θα μάθει να ζει νηστικός.</w:t>
            </w:r>
          </w:p>
          <w:p w:rsidR="00390036" w:rsidRPr="00A74637" w:rsidRDefault="000E553A" w:rsidP="00A74637">
            <w:pPr>
              <w:pStyle w:val="a8"/>
              <w:numPr>
                <w:ilvl w:val="0"/>
                <w:numId w:val="1"/>
              </w:numPr>
              <w:spacing w:line="192" w:lineRule="auto"/>
              <w:ind w:left="204" w:hanging="142"/>
              <w:jc w:val="both"/>
              <w:rPr>
                <w:b/>
                <w:noProof/>
                <w:color w:val="000000" w:themeColor="text1"/>
                <w:sz w:val="17"/>
                <w:szCs w:val="17"/>
              </w:rPr>
            </w:pPr>
            <w:r w:rsidRPr="00A74637">
              <w:rPr>
                <w:b/>
                <w:bCs/>
                <w:color w:val="000000" w:themeColor="text1"/>
                <w:sz w:val="17"/>
                <w:szCs w:val="17"/>
              </w:rPr>
              <w:t xml:space="preserve">Το </w:t>
            </w:r>
            <w:r w:rsidR="00A74637" w:rsidRPr="00A74637">
              <w:rPr>
                <w:b/>
                <w:bCs/>
                <w:color w:val="000000" w:themeColor="text1"/>
                <w:sz w:val="17"/>
                <w:szCs w:val="17"/>
              </w:rPr>
              <w:t>ΔΝΤ, στις φθινοπωρινές του προβλέψεις για την Ελλάδα, αποτυπώνει τη δυσπιστία του για την αποτελεσματικότητα των μέτρων οικονομικής πολιτικής που έχουν συμφωνηθεί με τους πιστωτές της χώρας και κατά πόσο θα έχουν το προσδοκώμενο αποτέλεσμα όσον αφορά στο ύψος του πρωτογενούς πλεονάσματος. Τα μικρότερα πρωτογενή πλεονάσματα που προβλέπει το ΔΝΤ, σε συνδυασμό με μείωση της υπερφορολόγησης μέσω ανακατανομής του φορολογικού βάρους υπέρ όσων δημιουργούν απασχόληση και εισοδήματα, έτσι ώστε να ενισχυθούν οι συνθήκες διαμόρφωσης μιας διατηρήσιμης ανάπτυξης, οδηγούν το ΔΝΤ σε προβλέψεις για ρυθμούς ανάπτυξης 0,1% και 2,8% για το 2016 και 2017 αντιστοίχως, που είναι οριακώς καλύτεροι από τις επίσημες προβλέψεις, αλλά για διαφορετικούς λόγους και με ένα διαφορετικό μείγμα πολιτικής</w:t>
            </w:r>
            <w:r w:rsidR="00390036" w:rsidRPr="00A74637">
              <w:rPr>
                <w:b/>
                <w:bCs/>
                <w:color w:val="000000" w:themeColor="text1"/>
                <w:sz w:val="17"/>
                <w:szCs w:val="17"/>
              </w:rPr>
              <w:t>.</w:t>
            </w:r>
          </w:p>
        </w:tc>
      </w:tr>
      <w:tr w:rsidR="008C3DCE" w:rsidRPr="00647522" w:rsidTr="003A7EB6">
        <w:trPr>
          <w:cantSplit/>
          <w:trHeight w:hRule="exact" w:val="5115"/>
        </w:trPr>
        <w:tc>
          <w:tcPr>
            <w:tcW w:w="3288" w:type="dxa"/>
            <w:shd w:val="clear" w:color="auto" w:fill="auto"/>
          </w:tcPr>
          <w:p w:rsidR="008C3DCE" w:rsidRPr="007B626E" w:rsidRDefault="008C3DCE">
            <w:pPr>
              <w:rPr>
                <w:b/>
              </w:rPr>
            </w:pPr>
          </w:p>
        </w:tc>
        <w:tc>
          <w:tcPr>
            <w:tcW w:w="7196" w:type="dxa"/>
            <w:shd w:val="clear" w:color="auto" w:fill="auto"/>
          </w:tcPr>
          <w:p w:rsidR="00E6524E" w:rsidRDefault="003D1569" w:rsidP="00E6524E">
            <w:pPr>
              <w:rPr>
                <w:color w:val="7030A0"/>
                <w:sz w:val="20"/>
                <w:szCs w:val="20"/>
              </w:rPr>
            </w:pPr>
            <w:r w:rsidRPr="00892590">
              <w:rPr>
                <w:b/>
                <w:noProof/>
                <w:color w:val="7030A0"/>
                <w:sz w:val="25"/>
                <w:szCs w:val="25"/>
                <w:lang w:val="en-US"/>
              </w:rPr>
              <w:t>Flexicurity</w:t>
            </w:r>
            <w:r w:rsidRPr="00892590">
              <w:rPr>
                <w:b/>
                <w:noProof/>
                <w:color w:val="7030A0"/>
                <w:sz w:val="25"/>
                <w:szCs w:val="25"/>
              </w:rPr>
              <w:t xml:space="preserve"> στην πράξη</w:t>
            </w:r>
            <w:r w:rsidR="005E5270" w:rsidRPr="00892590">
              <w:rPr>
                <w:b/>
                <w:noProof/>
                <w:color w:val="7030A0"/>
                <w:sz w:val="25"/>
                <w:szCs w:val="25"/>
              </w:rPr>
              <w:t xml:space="preserve"> </w:t>
            </w:r>
            <w:r w:rsidR="00B62670" w:rsidRPr="00892590">
              <w:rPr>
                <w:b/>
                <w:noProof/>
                <w:color w:val="7030A0"/>
                <w:sz w:val="25"/>
                <w:szCs w:val="25"/>
              </w:rPr>
              <w:t xml:space="preserve"> - Αποτελεσματικότητα αγορών εργασίας</w:t>
            </w:r>
            <w:r w:rsidR="00B62670">
              <w:rPr>
                <w:b/>
                <w:noProof/>
                <w:color w:val="7030A0"/>
                <w:sz w:val="28"/>
                <w:szCs w:val="28"/>
              </w:rPr>
              <w:t xml:space="preserve"> </w:t>
            </w:r>
            <w:r w:rsidR="00E6524E" w:rsidRPr="00B62670">
              <w:rPr>
                <w:color w:val="7030A0"/>
                <w:sz w:val="20"/>
                <w:szCs w:val="20"/>
              </w:rPr>
              <w:t>(</w:t>
            </w:r>
            <w:r w:rsidR="00E6524E" w:rsidRPr="00E172AB">
              <w:rPr>
                <w:color w:val="7030A0"/>
                <w:sz w:val="20"/>
                <w:szCs w:val="20"/>
                <w:lang w:val="en-US"/>
              </w:rPr>
              <w:t>WEF</w:t>
            </w:r>
            <w:r w:rsidR="005E5270" w:rsidRPr="00B62670">
              <w:rPr>
                <w:color w:val="7030A0"/>
                <w:sz w:val="20"/>
                <w:szCs w:val="20"/>
              </w:rPr>
              <w:t>,</w:t>
            </w:r>
            <w:r w:rsidR="00E6524E" w:rsidRPr="00B62670">
              <w:rPr>
                <w:color w:val="7030A0"/>
                <w:sz w:val="20"/>
                <w:szCs w:val="20"/>
              </w:rPr>
              <w:t xml:space="preserve"> </w:t>
            </w:r>
            <w:hyperlink r:id="rId10" w:history="1">
              <w:r w:rsidR="00E6524E" w:rsidRPr="00E172AB">
                <w:rPr>
                  <w:rStyle w:val="-"/>
                  <w:color w:val="7030A0"/>
                  <w:sz w:val="20"/>
                  <w:szCs w:val="20"/>
                  <w:lang w:val="en-US"/>
                </w:rPr>
                <w:t>Global</w:t>
              </w:r>
              <w:r w:rsidR="00E6524E" w:rsidRPr="00B62670">
                <w:rPr>
                  <w:rStyle w:val="-"/>
                  <w:color w:val="7030A0"/>
                  <w:sz w:val="20"/>
                  <w:szCs w:val="20"/>
                </w:rPr>
                <w:t xml:space="preserve"> </w:t>
              </w:r>
              <w:r w:rsidR="00E6524E" w:rsidRPr="00E172AB">
                <w:rPr>
                  <w:rStyle w:val="-"/>
                  <w:color w:val="7030A0"/>
                  <w:sz w:val="20"/>
                  <w:szCs w:val="20"/>
                  <w:lang w:val="en-US"/>
                </w:rPr>
                <w:t>Competit</w:t>
              </w:r>
              <w:r w:rsidR="00E76A56">
                <w:rPr>
                  <w:rStyle w:val="-"/>
                  <w:color w:val="7030A0"/>
                  <w:sz w:val="20"/>
                  <w:szCs w:val="20"/>
                  <w:lang w:val="en-US"/>
                </w:rPr>
                <w:t>i</w:t>
              </w:r>
              <w:r w:rsidR="00E6524E" w:rsidRPr="00E172AB">
                <w:rPr>
                  <w:rStyle w:val="-"/>
                  <w:color w:val="7030A0"/>
                  <w:sz w:val="20"/>
                  <w:szCs w:val="20"/>
                  <w:lang w:val="en-US"/>
                </w:rPr>
                <w:t>veness</w:t>
              </w:r>
              <w:r w:rsidR="00E6524E" w:rsidRPr="00B62670">
                <w:rPr>
                  <w:rStyle w:val="-"/>
                  <w:color w:val="7030A0"/>
                  <w:sz w:val="20"/>
                  <w:szCs w:val="20"/>
                </w:rPr>
                <w:t xml:space="preserve"> </w:t>
              </w:r>
              <w:r w:rsidR="00E6524E" w:rsidRPr="00E172AB">
                <w:rPr>
                  <w:rStyle w:val="-"/>
                  <w:color w:val="7030A0"/>
                  <w:sz w:val="20"/>
                  <w:szCs w:val="20"/>
                  <w:lang w:val="en-US"/>
                </w:rPr>
                <w:t>Index</w:t>
              </w:r>
            </w:hyperlink>
            <w:r w:rsidR="00E6524E" w:rsidRPr="00B62670">
              <w:rPr>
                <w:color w:val="7030A0"/>
                <w:sz w:val="20"/>
                <w:szCs w:val="20"/>
              </w:rPr>
              <w:t xml:space="preserve">, 2016-2017. </w:t>
            </w:r>
            <w:r w:rsidR="005E5270">
              <w:rPr>
                <w:color w:val="7030A0"/>
                <w:sz w:val="20"/>
                <w:szCs w:val="20"/>
              </w:rPr>
              <w:t>Κατάταξη μεταξύ 138 χωρών</w:t>
            </w:r>
            <w:r w:rsidR="003B709E">
              <w:rPr>
                <w:color w:val="7030A0"/>
                <w:sz w:val="20"/>
                <w:szCs w:val="20"/>
              </w:rPr>
              <w:t>, Μεγαλύτερο = χειρότερο</w:t>
            </w:r>
            <w:r w:rsidR="00E6524E" w:rsidRPr="00E172AB">
              <w:rPr>
                <w:color w:val="7030A0"/>
                <w:sz w:val="20"/>
                <w:szCs w:val="20"/>
              </w:rPr>
              <w:t>)</w:t>
            </w:r>
          </w:p>
          <w:p w:rsidR="00BE70B6" w:rsidRPr="008E1F32" w:rsidRDefault="00B62670" w:rsidP="00803B98">
            <w:pPr>
              <w:rPr>
                <w:b/>
                <w:noProof/>
                <w:color w:val="7030A0"/>
                <w:sz w:val="28"/>
                <w:szCs w:val="28"/>
              </w:rPr>
            </w:pPr>
            <w:r>
              <w:rPr>
                <w:noProof/>
              </w:rPr>
              <w:drawing>
                <wp:inline distT="0" distB="0" distL="0" distR="0">
                  <wp:extent cx="4320000" cy="2682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91" r="10247" b="18636"/>
                          <a:stretch/>
                        </pic:blipFill>
                        <pic:spPr bwMode="auto">
                          <a:xfrm>
                            <a:off x="0" y="0"/>
                            <a:ext cx="4320000" cy="26829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25C3F" w:rsidRPr="00803B98" w:rsidRDefault="00225C3F" w:rsidP="00803B98">
      <w:pPr>
        <w:spacing w:after="0" w:line="240" w:lineRule="auto"/>
        <w:rPr>
          <w:sz w:val="16"/>
          <w:szCs w:val="16"/>
        </w:rPr>
      </w:pPr>
    </w:p>
    <w:tbl>
      <w:tblPr>
        <w:tblStyle w:val="a6"/>
        <w:tblW w:w="106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0"/>
        <w:gridCol w:w="5267"/>
      </w:tblGrid>
      <w:tr w:rsidR="009A2EC7" w:rsidRPr="00CF0AE8" w:rsidTr="000477DE">
        <w:trPr>
          <w:trHeight w:val="51"/>
          <w:jc w:val="center"/>
        </w:trPr>
        <w:tc>
          <w:tcPr>
            <w:tcW w:w="5390" w:type="dxa"/>
          </w:tcPr>
          <w:p w:rsidR="00191010" w:rsidRPr="001F57AB" w:rsidRDefault="00191010" w:rsidP="00FD24CE">
            <w:pPr>
              <w:spacing w:line="216" w:lineRule="auto"/>
              <w:jc w:val="both"/>
              <w:rPr>
                <w:sz w:val="18"/>
                <w:szCs w:val="18"/>
              </w:rPr>
            </w:pPr>
            <w:r w:rsidRPr="001F57AB">
              <w:rPr>
                <w:sz w:val="18"/>
                <w:szCs w:val="18"/>
              </w:rPr>
              <w:t xml:space="preserve"> </w:t>
            </w:r>
          </w:p>
          <w:p w:rsidR="00C4260C" w:rsidRDefault="00C4260C" w:rsidP="00C4260C">
            <w:pPr>
              <w:spacing w:line="211" w:lineRule="auto"/>
              <w:jc w:val="both"/>
              <w:rPr>
                <w:b/>
                <w:sz w:val="24"/>
                <w:szCs w:val="24"/>
              </w:rPr>
            </w:pPr>
            <w:r w:rsidRPr="00C4260C">
              <w:rPr>
                <w:b/>
                <w:sz w:val="24"/>
                <w:szCs w:val="24"/>
              </w:rPr>
              <w:lastRenderedPageBreak/>
              <w:t>Οι εμπειρίες των άλλων: Το πλαίσιο των συλλογικών συμβάσεων εργασίας και της διαιτησίας στη Σουηδία</w:t>
            </w:r>
          </w:p>
          <w:p w:rsidR="00AE534D" w:rsidRPr="00AE534D" w:rsidRDefault="00AE534D" w:rsidP="00390036">
            <w:pPr>
              <w:spacing w:line="211" w:lineRule="auto"/>
              <w:jc w:val="both"/>
              <w:rPr>
                <w:sz w:val="18"/>
                <w:szCs w:val="18"/>
              </w:rPr>
            </w:pPr>
            <w:r w:rsidRPr="00AE534D">
              <w:rPr>
                <w:sz w:val="18"/>
                <w:szCs w:val="18"/>
              </w:rPr>
              <w:t>Για μια ολόκληρη γενιά η Σουηδία είχε αποτελέσει το πρότυπο του κοινωνικού κράτους, όπου μάλιστα οι κοινωνικοί εταίροι είχαν τον πρωταρχικό λόγο στη διαμόρφωση των εργασιακών και κοινωνικών κανόνων. Όμως στην δεκαετία του 1980 έγινε αντιληπτό ότι για να εξακολουθήσει η χώρα να ευημερεί, θα χρειαζόντουσαν σοβαρές αλλαγές στους κανόνες αυτούς. Έγιναν εκτεταμένες διαβουλεύσεις, κυρίως έξω από την αρένα των πολιτικών αντιπαραθέσεων, και υιοθετήθηκαν οι κανόνες που ισχύουν περίπου μέχρι σήμερα. Αντί άλλου σχολιασμού, αξίζει να παρουσιαστούν οι σημαντικότερες παράμετροι του Σουηδικού πλαισίου συλλογικών συμβάσεων και διαιτησίας για να γίνει κατανοητό πως ρυθμίζεται η αγορά εργασίας εντός του ευρωπαϊκού κεκτημένου, σε μια χώρα με ισχυρό κοινωνικό κράτος και  ανοιχτή οικονομία της αγοράς. Από τα τέλη της δεκαετίας του 1980, η Σουηδία έχει εγκαταλείψει το σύστημα των συλλογικών διαπραγματεύσεων σε εθνικό επίπεδο για τον καθορισμό του κατώτατου μισθού (</w:t>
            </w:r>
            <w:hyperlink r:id="rId12" w:history="1">
              <w:r w:rsidRPr="00AE534D">
                <w:rPr>
                  <w:rStyle w:val="-"/>
                  <w:sz w:val="18"/>
                  <w:szCs w:val="18"/>
                  <w:lang w:val="en-US"/>
                </w:rPr>
                <w:t>www</w:t>
              </w:r>
              <w:r w:rsidRPr="00AE534D">
                <w:rPr>
                  <w:rStyle w:val="-"/>
                  <w:sz w:val="18"/>
                  <w:szCs w:val="18"/>
                </w:rPr>
                <w:t>.</w:t>
              </w:r>
              <w:r w:rsidRPr="00AE534D">
                <w:rPr>
                  <w:rStyle w:val="-"/>
                  <w:sz w:val="18"/>
                  <w:szCs w:val="18"/>
                  <w:lang w:val="en-US"/>
                </w:rPr>
                <w:t>worker</w:t>
              </w:r>
              <w:r w:rsidRPr="00AE534D">
                <w:rPr>
                  <w:rStyle w:val="-"/>
                  <w:sz w:val="18"/>
                  <w:szCs w:val="18"/>
                </w:rPr>
                <w:t>-</w:t>
              </w:r>
              <w:r w:rsidRPr="00AE534D">
                <w:rPr>
                  <w:rStyle w:val="-"/>
                  <w:sz w:val="18"/>
                  <w:szCs w:val="18"/>
                  <w:lang w:val="en-US"/>
                </w:rPr>
                <w:t>participation</w:t>
              </w:r>
              <w:r w:rsidRPr="00AE534D">
                <w:rPr>
                  <w:rStyle w:val="-"/>
                  <w:sz w:val="18"/>
                  <w:szCs w:val="18"/>
                </w:rPr>
                <w:t>.</w:t>
              </w:r>
              <w:r w:rsidRPr="00AE534D">
                <w:rPr>
                  <w:rStyle w:val="-"/>
                  <w:sz w:val="18"/>
                  <w:szCs w:val="18"/>
                  <w:lang w:val="en-US"/>
                </w:rPr>
                <w:t>eu</w:t>
              </w:r>
            </w:hyperlink>
            <w:r w:rsidRPr="00AE534D">
              <w:rPr>
                <w:sz w:val="18"/>
                <w:szCs w:val="18"/>
              </w:rPr>
              <w:t>)</w:t>
            </w:r>
            <w:r w:rsidR="002860B4" w:rsidRPr="002860B4">
              <w:rPr>
                <w:sz w:val="18"/>
                <w:szCs w:val="18"/>
              </w:rPr>
              <w:t>.</w:t>
            </w:r>
            <w:r w:rsidRPr="00AE534D">
              <w:rPr>
                <w:sz w:val="18"/>
                <w:szCs w:val="18"/>
              </w:rPr>
              <w:t xml:space="preserve"> Αν και οι οργανισμοί εργοδοτών και εργαζομένων εξακολουθούν να διαπραγματεύονται σε εθνικό επίπεδο για άλλες, πλην των μισθών, πτυχές των εργασιακών σχέσεων, όπως συμφωνίες για συνταξιοδοτικές ρυθμίσεις, διαδικασίες απολύσεων ή συμμετοχή των συνδικάτων στη</w:t>
            </w:r>
            <w:r w:rsidR="00B26D7F">
              <w:rPr>
                <w:sz w:val="18"/>
                <w:szCs w:val="18"/>
              </w:rPr>
              <w:t xml:space="preserve"> διοίκηση των επιχειρήσεων, κ.λ</w:t>
            </w:r>
            <w:r w:rsidRPr="00AE534D">
              <w:rPr>
                <w:sz w:val="18"/>
                <w:szCs w:val="18"/>
              </w:rPr>
              <w:t xml:space="preserve">π.,  η έμφαση για τον καθορισμό των μισθών δίδεται πλέον στο κλαδικό και το επιχειρησιακό επίπεδο. Στην Σουηδία, οι συλλογικές διαπραγματεύσεις καλύπτουν το 88% του συνόλου των εργαζομένων, με τους εργαζόμενους στον ιδιωτικό τομέα να καλύπτονται κατά 83% και εκείνους στο δημόσιο τομέα κατά 100%. Στο κλαδικό επίπεδο δραστηριοποιούνται 60 εργατικά συνδικάτα και 50 εργοδοτικές οργανώσεις που καλύπτουν 54 χιλιάδες εταιρείες - μέλη με 1,5 εκατ. εργαζομένους. Σε κάθε περίπτωση, αν και συνάπτονται συμφωνίες σε κλαδικό επίπεδο, υπάρχει σημαντική ευελιξία για τον καθορισμό των μισθών σε επιχειρησιακό/τοπικό επίπεδο.  Ο βαθμός κατά τον οποίο οι κλαδικές συμβάσεις καθορίζουν τον μισθό σε τοπικό επίπεδο, ποικίλει σημαντικά. Με στοιχεία του 2012, στο ένα άκρο του φάσματος (11% του συνόλου), υπάρχουν κλαδικές συμφωνίες που δεν προσδιορίζουν αυξήσεις μισθών, με τις σχετικές διαπραγματεύσεις να γίνονται πλέον σε επιχειρησιακό επίπεδο. Εν προκειμένω, η εφαρμογή συμβάσεων όπου ο καθορισμός της αύξησης των μισθών γίνεται 100% σε τοπικό επίπεδο απαντάται συχνότερα στο δημόσιο τομέα (44% σε φορείς κεντρικής κυβέρνησης και 16% σε φορείς τοπικής αυτοδιοίκησης) παρά στον ιδιωτικό τομέα, όπου μόνο το 5% των συμβάσεων περιλαμβάνει καθορισμό μισθών αποκλειστικά στο επίπεδο της επιχείρησης. Στο άλλο άκρο του φάσματος (ένα άλλο 11% του συνόλου), υπάρχουν κλαδικές συμφωνίες που καθορίζουν αυξήσεις μισθών για όλους τους εργαζόμενους των επιχειρήσεων του κλάδου. Για το υπόλοιπο 78% των συμφωνιών σε κλαδικό επίπεδο, οι αυξήσεις των μισθών προκύπτουν από ένα συνδυασμό των διαπραγματεύσεων σε κλαδικό και σε επιχειρησιακό επίπεδο. Συνήθως, μέσω διαπραγματεύσεων σε επίπεδο κλάδου συμφωνείται μία αύξηση της δαπάνης για μισθούς που δεσμεύουν τις επιχειρήσεις του κλάδου, και μέσω διαπραγματεύσεων σε επίπεδο επιχείρησης συμφωνείται η διανομή της αύξησης της δαπάνης σε αυξομειώσεις προσωπικού και μισθούς σε επιμέρους εργαζομένους, λαμβανομένης υπόψη και της απόδοσής τους. Επίσης, οι κλαδικές αυτές συμφωνίες περιλαμβάνουν ρήτρες για ρυθμίσεις σε περίπτωση που δεν επιτευχθεί συμφωνία σε τοπικό επίπεδο, καθώς και για ένα εγγυημένο ελάχιστο ποσοστό αύξησης μισθού ανά εργαζόμενο. </w:t>
            </w:r>
          </w:p>
          <w:p w:rsidR="00B62670" w:rsidRPr="00AE534D" w:rsidRDefault="00AE534D" w:rsidP="00390036">
            <w:pPr>
              <w:spacing w:line="211" w:lineRule="auto"/>
              <w:jc w:val="both"/>
              <w:rPr>
                <w:sz w:val="18"/>
                <w:szCs w:val="18"/>
              </w:rPr>
            </w:pPr>
            <w:r w:rsidRPr="00AE534D">
              <w:rPr>
                <w:sz w:val="18"/>
                <w:szCs w:val="18"/>
              </w:rPr>
              <w:t xml:space="preserve">Στην Σουηδία πέραν του καθορισμού των μισθών και του εργάσιμου χρόνου, οι συλλογικές συμβάσεις περιλαμβάνουν και ρυθμίσεις για πρόσθετες πτυχές του εργασιακού βίου. Στο πλαίσιο αυτό, οι κλαδικές συμβάσεις μπορούν να περιλαμβάνουν ρυθμίσεις για αναρρωτικές άδειες, αποζημίωση σε περίπτωση ατυχήματος, και συντάξεις ανικανότητας και γήρατος, πέραν των ελάχιστων ορίων που ορίζει η νομοθεσία. Στο επίπεδο των επιχειρησιακών συμβάσεων, στις διαπραγματεύσεις μπορούν να περιλαμβάνονται θέματα κατάρτισης εργαζομένων, εισαγωγής νέων τεχνολογιών, και άλλα συναφή θέματα </w:t>
            </w:r>
          </w:p>
          <w:tbl>
            <w:tblPr>
              <w:tblStyle w:val="a6"/>
              <w:tblpPr w:leftFromText="180" w:rightFromText="180" w:vertAnchor="text" w:tblpY="-72"/>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pct10" w:color="auto" w:fill="auto"/>
              <w:tblLayout w:type="fixed"/>
              <w:tblLook w:val="04A0" w:firstRow="1" w:lastRow="0" w:firstColumn="1" w:lastColumn="0" w:noHBand="0" w:noVBand="1"/>
            </w:tblPr>
            <w:tblGrid>
              <w:gridCol w:w="5164"/>
            </w:tblGrid>
            <w:tr w:rsidR="00B62670" w:rsidTr="00B62670">
              <w:tc>
                <w:tcPr>
                  <w:tcW w:w="5164" w:type="dxa"/>
                  <w:shd w:val="pct10" w:color="auto" w:fill="auto"/>
                </w:tcPr>
                <w:p w:rsidR="00B62670" w:rsidRDefault="00B62670" w:rsidP="00B62670">
                  <w:pPr>
                    <w:spacing w:after="60" w:line="216" w:lineRule="auto"/>
                    <w:jc w:val="both"/>
                    <w:rPr>
                      <w:b/>
                    </w:rPr>
                  </w:pPr>
                  <w:r w:rsidRPr="00390036">
                    <w:rPr>
                      <w:b/>
                    </w:rPr>
                    <w:lastRenderedPageBreak/>
                    <w:t xml:space="preserve">Το πόρισμα της Επιτροπής Εμπειρογνωμόνων για τα εργασιακά </w:t>
                  </w:r>
                </w:p>
                <w:p w:rsidR="00B62670" w:rsidRPr="00390036" w:rsidRDefault="00B62670" w:rsidP="00B62670">
                  <w:pPr>
                    <w:spacing w:after="60" w:line="216" w:lineRule="auto"/>
                    <w:jc w:val="both"/>
                    <w:rPr>
                      <w:sz w:val="18"/>
                      <w:szCs w:val="18"/>
                    </w:rPr>
                  </w:pPr>
                  <w:r w:rsidRPr="00390036">
                    <w:rPr>
                      <w:sz w:val="18"/>
                      <w:szCs w:val="18"/>
                    </w:rPr>
                    <w:t xml:space="preserve">Η Επιτροπή Εμπειρογνωμόνων στην έκθεσή της για τα εργασιακά αναφέρει ότι: </w:t>
                  </w:r>
                </w:p>
                <w:p w:rsidR="00B62670" w:rsidRPr="00390036" w:rsidRDefault="00B62670" w:rsidP="00B62670">
                  <w:pPr>
                    <w:spacing w:after="60" w:line="216" w:lineRule="auto"/>
                    <w:jc w:val="both"/>
                    <w:rPr>
                      <w:sz w:val="18"/>
                      <w:szCs w:val="18"/>
                    </w:rPr>
                  </w:pPr>
                  <w:r w:rsidRPr="00390036">
                    <w:rPr>
                      <w:sz w:val="18"/>
                      <w:szCs w:val="18"/>
                    </w:rPr>
                    <w:t xml:space="preserve">α) Όσον αφορά στις </w:t>
                  </w:r>
                  <w:r w:rsidRPr="002860B4">
                    <w:rPr>
                      <w:sz w:val="18"/>
                      <w:szCs w:val="18"/>
                      <w:u w:val="single"/>
                    </w:rPr>
                    <w:t>εργασιακές κινητοποιήσεις</w:t>
                  </w:r>
                  <w:r w:rsidRPr="00390036">
                    <w:rPr>
                      <w:sz w:val="18"/>
                      <w:szCs w:val="18"/>
                    </w:rPr>
                    <w:t xml:space="preserve"> δεν υπάρχει ανάγκη αλλαγής του πλαισίου που διέπει την κήρυξη απεργιών. Το ίδιο ισχύει και για την απαγόρευση των ανταπεργιών, αν και συστήνεται στις ελληνικές αρχές να διευκρινισθεί η χρηστική λειτουργικότητα του αρθ. 654 του Αστικού Κώδικα που δίνει στον εργοδότη τη δυνατότητα να μην καταβάλλει μισθούς σε όσους δεν απεργούν αλλά δεν μπορούν να ασκήσουν τα εργασιακά τους καθήκοντα λόγω της απεργίας.  </w:t>
                  </w:r>
                </w:p>
                <w:p w:rsidR="00B62670" w:rsidRPr="00390036" w:rsidRDefault="00B62670" w:rsidP="00B62670">
                  <w:pPr>
                    <w:spacing w:after="60" w:line="216" w:lineRule="auto"/>
                    <w:jc w:val="both"/>
                    <w:rPr>
                      <w:sz w:val="18"/>
                      <w:szCs w:val="18"/>
                    </w:rPr>
                  </w:pPr>
                  <w:r w:rsidRPr="00390036">
                    <w:rPr>
                      <w:sz w:val="18"/>
                      <w:szCs w:val="18"/>
                    </w:rPr>
                    <w:t xml:space="preserve">β) Όσον αφορά στις </w:t>
                  </w:r>
                  <w:r w:rsidRPr="002860B4">
                    <w:rPr>
                      <w:sz w:val="18"/>
                      <w:szCs w:val="18"/>
                      <w:u w:val="single"/>
                    </w:rPr>
                    <w:t>ομαδικές απολύσεις</w:t>
                  </w:r>
                  <w:r w:rsidRPr="00390036">
                    <w:rPr>
                      <w:sz w:val="18"/>
                      <w:szCs w:val="18"/>
                    </w:rPr>
                    <w:t>, η έκθεση τάσσεται υπέρ της κατάργησης του ισχύοντος πλαισίου που προβλέπει την έγκριση του Υπουργού Εργασίας για την πραγματοποίηση ομαδικών απολύσεων, αλλά και της αντικατάστασης του με διαδικασίες διαβούλευσης και κοινοποίησης στις αρμόδιες αρχές του σχεδίου αντιμετώπισης των κοινωνικών συνεπειών των ομαδικών απολύσεων, στον οποίο θα λαμβάνονται υπόψη οι ανάγκες αποζημίωσης και επανεκπαίδευσης των απολυμένων, μέσα στα όρια των οικονομικών δυνατοτήτων της επιχείρησης. Παράλληλα, σε μία προσπάθεια αποφυγής των ομαδικών απολύσεων, η έκθεση προτείνει την εισαγωγή ενός ευέλικτου πλαισίου μειωμένου ωραρίου απασχόλησης σε επιχειρήσεις που αντιμετωπίζουν προσωρινές οικονομικές δυσχέρειες, με την καταβολή αναλογικού επιδόματος ανεργίας στους απασχολούμενους με μειωμένο ωράριο.</w:t>
                  </w:r>
                </w:p>
                <w:p w:rsidR="00B62670" w:rsidRPr="00390036" w:rsidRDefault="00B62670" w:rsidP="00B62670">
                  <w:pPr>
                    <w:spacing w:after="60" w:line="216" w:lineRule="auto"/>
                    <w:jc w:val="both"/>
                    <w:rPr>
                      <w:sz w:val="18"/>
                      <w:szCs w:val="18"/>
                    </w:rPr>
                  </w:pPr>
                  <w:r w:rsidRPr="00390036">
                    <w:rPr>
                      <w:sz w:val="18"/>
                      <w:szCs w:val="18"/>
                    </w:rPr>
                    <w:t xml:space="preserve"> γ) Όσον αφορά στον </w:t>
                  </w:r>
                  <w:r w:rsidRPr="002860B4">
                    <w:rPr>
                      <w:sz w:val="18"/>
                      <w:szCs w:val="18"/>
                      <w:u w:val="single"/>
                    </w:rPr>
                    <w:t>κατώτατο μισθό</w:t>
                  </w:r>
                  <w:r w:rsidRPr="00390036">
                    <w:rPr>
                      <w:sz w:val="18"/>
                      <w:szCs w:val="18"/>
                    </w:rPr>
                    <w:t xml:space="preserve">, η έκθεση συμφωνεί στην ανάγκη ύπαρξης ενός κατώτατου μισθού που να λαμβάνει υπόψη τη διαφύλαξη της ανταγωνιστικότητας της ελληνικής οικονομίας, και ενός χαμηλότερου κατώτατου μισθού για νέους ώστε να διευκολύνεται περαιτέρω η είσοδος τους στην αγορά εργασίας. Ωστόσο, υπήρξε διαφωνία ως προς τον αποφασιστικό ρόλο των κοινωνικών εταίρων στον προσδιορισμό του κατώτατου μισθού και των μεταβολών του μέσω συλλογικών διαπραγματεύσεων, με την μειοψηφία των εμπειρογνωμόνων να τάσσεται υπέρ του προσδιορισμού του κατώτατου μισθού αποκλειστικά από την κυβέρνηση, μετά από διαβουλεύσεις με τους κοινωνικούς εταίρους και ανεξάρτητους εμπειρογνώμονες. Επίσης, στο θέμα του χαμηλότερου κατώτατου μισθού για νέους, η πλειοψηφία τάχθηκε υπέρ της αλλαγής του ισχύοντος συστήματος ώστε να λαμβάνεται υπόψη η εργασιακή τους εμπειρία και όχι η ηλικία, και η εφαρμογή του να μην εκτείνεται πέραν της διετίας. </w:t>
                  </w:r>
                </w:p>
                <w:p w:rsidR="00B62670" w:rsidRDefault="00B62670" w:rsidP="00E30B75">
                  <w:pPr>
                    <w:spacing w:after="60" w:line="216" w:lineRule="auto"/>
                    <w:jc w:val="both"/>
                    <w:rPr>
                      <w:b/>
                      <w:sz w:val="18"/>
                      <w:szCs w:val="18"/>
                    </w:rPr>
                  </w:pPr>
                  <w:r w:rsidRPr="00390036">
                    <w:rPr>
                      <w:sz w:val="18"/>
                      <w:szCs w:val="18"/>
                    </w:rPr>
                    <w:t xml:space="preserve">δ) Όσον αφορά στις </w:t>
                  </w:r>
                  <w:r w:rsidRPr="002860B4">
                    <w:rPr>
                      <w:sz w:val="18"/>
                      <w:szCs w:val="18"/>
                      <w:u w:val="single"/>
                    </w:rPr>
                    <w:t>συλλογικές διαπραγματεύσεις</w:t>
                  </w:r>
                  <w:r w:rsidRPr="00390036">
                    <w:rPr>
                      <w:sz w:val="18"/>
                      <w:szCs w:val="18"/>
                    </w:rPr>
                    <w:t>, η έκθεση προβλέπει τη δυνατότητα επεκτασιμότητας σε επιχειρησιακό επίπεδο των συλλογικών συμβάσεων σε κλαδικό ή ομοιοεπαγγελματικό επίπεδο, μόνον εφόσον πιστοποιείται επισήμως η αντιπροσωπευτικότητα των συλλογικών συμβάσεων (ότι καλύπτει, δηλαδή, άνω του 50% των εργαζομένων). Επίσης, η Επιτροπή εμφανίζεται διχασμένη στο θέμα της αρχής της ευνοϊκότερης σύμβασης.  Ένα τμήμα των εμπειρογνωμόνων  θεωρεί ότι οι επιχειρησιακές συμβάσεις πρέπει να υπερισχύουν των κλαδικών/ομοιοεπαγγελματικών για λόγους μεγαλύτερης μισθολογικής ευελιξίας.  Ένα άλλο θεωρεί ότι αυτό μπορεί να γίνεται μόνο κατ’ εξαίρεση σε περιπτώσεις επειγουσών οικονομικών/χρηματοοικονομικών αναγκών των επιχειρήσεων και μόνο εφόσον οι κοινωνικοί εταίροι έχουν συμφωνήσεις σε ρήτρες προσωρινής απόκλισης. Τέλος, εφόσον δεν υπάρχει απόφαση των κοινωνικών εταίρων που να ορίζει διαφορετικά, η χρονική επέκταση της συλλογικής σύμβασης να είναι εξάμηνη, η μετενέργεια να καλύπτει όλους τους όρους και η καταγγελία να γίνεται με προειδοποίηση τριών μηνών. Σε περίπτωση δε προσφυγής στη διαιτησία, η έκθεση εκφράζει την ευχή αυτό να γίνεται με τη σύμφωνη γνώμη και των δύο μερών και η μονομερής προσφυγή να μην χρησιμοποιείται παρά μόνο ως έσχατο μέσο πίεσης, μιας και αποτυπώνει την έλλειψη εμπιστοσύνης μεταξύ των δύο πλευρών.</w:t>
                  </w:r>
                </w:p>
              </w:tc>
            </w:tr>
          </w:tbl>
          <w:p w:rsidR="00AE534D" w:rsidRPr="00AE534D" w:rsidRDefault="00AE534D" w:rsidP="00390036">
            <w:pPr>
              <w:spacing w:line="211" w:lineRule="auto"/>
              <w:jc w:val="both"/>
              <w:rPr>
                <w:sz w:val="18"/>
                <w:szCs w:val="18"/>
              </w:rPr>
            </w:pPr>
            <w:r w:rsidRPr="00AE534D">
              <w:rPr>
                <w:sz w:val="18"/>
                <w:szCs w:val="18"/>
              </w:rPr>
              <w:t xml:space="preserve">που άπτονται της θεσμοθετημένης συμμετοχής των εργαζομένων στη </w:t>
            </w:r>
            <w:r w:rsidRPr="00AE534D">
              <w:rPr>
                <w:sz w:val="18"/>
                <w:szCs w:val="18"/>
              </w:rPr>
              <w:lastRenderedPageBreak/>
              <w:t xml:space="preserve">διαμόρφωση του εργασιακού περιβάλλοντος στον χώρο εργασίας. </w:t>
            </w:r>
          </w:p>
          <w:p w:rsidR="00AE534D" w:rsidRPr="00AE534D" w:rsidRDefault="00AE534D" w:rsidP="00390036">
            <w:pPr>
              <w:spacing w:line="211" w:lineRule="auto"/>
              <w:jc w:val="both"/>
              <w:rPr>
                <w:sz w:val="18"/>
                <w:szCs w:val="18"/>
              </w:rPr>
            </w:pPr>
            <w:r w:rsidRPr="00AE534D">
              <w:rPr>
                <w:sz w:val="18"/>
                <w:szCs w:val="18"/>
              </w:rPr>
              <w:t xml:space="preserve">Οι κλαδικές και οι επιχειρησιακές συμβάσεις είναι νομικά δεσμευτικές για τα δύο μέρη και οι εργοδότες υποχρεούνται να εφαρμόσουν τη σύμβαση για όλους τους εργαζόμενους, καλύπτοντας και όσους δεν είναι μέλη των εργατικών συνδικάτων. </w:t>
            </w:r>
            <w:r w:rsidRPr="00AE534D">
              <w:rPr>
                <w:sz w:val="18"/>
                <w:szCs w:val="18"/>
                <w:lang w:val="en-US"/>
              </w:rPr>
              <w:t>(</w:t>
            </w:r>
            <w:hyperlink r:id="rId13" w:history="1">
              <w:r w:rsidRPr="00AE534D">
                <w:rPr>
                  <w:rStyle w:val="-"/>
                  <w:sz w:val="18"/>
                  <w:szCs w:val="18"/>
                  <w:lang w:val="en-US"/>
                </w:rPr>
                <w:t>The Swedish rules on Negotiation and Mediation – a brief summary» by Kurt Eriksson, National Mediation Office, 2010</w:t>
              </w:r>
            </w:hyperlink>
            <w:r w:rsidRPr="00AE534D">
              <w:rPr>
                <w:sz w:val="18"/>
                <w:szCs w:val="18"/>
                <w:lang w:val="en-US"/>
              </w:rPr>
              <w:t xml:space="preserve">). </w:t>
            </w:r>
            <w:r w:rsidRPr="00AE534D">
              <w:rPr>
                <w:sz w:val="18"/>
                <w:szCs w:val="18"/>
              </w:rPr>
              <w:t xml:space="preserve">Συνήθως, οι συλλογικές συμβάσεις ισχύουν για τρία χρόνια, αν και πολλές φορές περιλαμβάνεται ρήτρα καταγγελίας της σύμβασης ένα χρόνο πριν. </w:t>
            </w:r>
          </w:p>
          <w:p w:rsidR="00AE534D" w:rsidRPr="00AE534D" w:rsidRDefault="00AE534D" w:rsidP="00390036">
            <w:pPr>
              <w:spacing w:line="211" w:lineRule="auto"/>
              <w:jc w:val="both"/>
              <w:rPr>
                <w:sz w:val="18"/>
                <w:szCs w:val="18"/>
              </w:rPr>
            </w:pPr>
            <w:r w:rsidRPr="00AE534D">
              <w:rPr>
                <w:sz w:val="18"/>
                <w:szCs w:val="18"/>
              </w:rPr>
              <w:t xml:space="preserve">Πολλές οργανώσεις εργοδοτών και εργατικά συνδικάτα έχουν υπογράψει διμερείς συμφωνίες συνεργασίας, που περιλαμβάνουν και ρυθμίσεις για τις διαδικασίες των διαπραγματεύσεων, όπως π.χ. μεταξύ άλλων, για το χρονοδιάγραμμα των διαπραγματεύσεων (π.χ. ότι οι διαπραγματεύσεις πρέπει να ξεκινήσουν τουλάχιστον 3 μήνες πριν το τέλος της ισχύουσας συλλογικής σύμβασης), για τους κανόνες διορισμού μεσολαβητών και τερματισμού των διαπραγματεύσεων. Ο προσδιορισμός των διαδικασιών αυτών σκοπεύει στην ολοκλήρωση των διαπραγματεύσεων για τη νέα, πριν να εκπνεύσει η παλαιά, συλλογική σύμβαση εργασίας. </w:t>
            </w:r>
          </w:p>
          <w:p w:rsidR="00AE534D" w:rsidRPr="00AE534D" w:rsidRDefault="00AE534D" w:rsidP="00390036">
            <w:pPr>
              <w:spacing w:line="211" w:lineRule="auto"/>
              <w:jc w:val="both"/>
              <w:rPr>
                <w:sz w:val="18"/>
                <w:szCs w:val="18"/>
              </w:rPr>
            </w:pPr>
            <w:r w:rsidRPr="00AE534D">
              <w:rPr>
                <w:sz w:val="18"/>
                <w:szCs w:val="18"/>
              </w:rPr>
              <w:t>Στις συμφωνίες συνεργασίας περιλαμβάνονται συνήθως και ρήτρες εργασιακής ειρήνης (απαγόρευση απεργίας) κατά τη διάρκεια ισχύος της συλλογικής σύμβασης εργασίας. Σύμφωνα με τις ρυθμίσεις αυτές, δεν μπορεί να κηρυχθεί απεργία 1) χωρίς να υπάρχει σύννομη απόφαση του εργατικού συνδικάτου 2) εάν η απεργία παραβιάζει τους όρους μίας ισχύουσας συλλογικής σύμβασης που περιλαμβάνει ισχυρότερη ρήτρα εργασιακής ειρήνης από αυτήν που προβλέπει ο νόμος 3) εάν ο σκοπός της απεργίας είναι α) να ασκηθεί πίεση σε περίπτωση νομικής διαμάχης που αφορά σε μία συλλογική σύμβαση ή στον συνδικαλιστικό νόμο β) να αλλάξουν οι όροι της ισχύουσας συλλογικής σύμβασης γ) να υιοθετηθεί μία νέα ρύθμιση προς εφαρμογή αφού εκπνεύσει η ισχύουσα συλλογική σύμβαση, και, δ) να εκφρασθεί συμπαράσταση σε άλλο συνδικάτο που δεν μπορεί να απεργήσει</w:t>
            </w:r>
            <w:r w:rsidR="002860B4" w:rsidRPr="002860B4">
              <w:rPr>
                <w:sz w:val="18"/>
                <w:szCs w:val="18"/>
              </w:rPr>
              <w:t>.</w:t>
            </w:r>
            <w:r w:rsidRPr="00AE534D">
              <w:rPr>
                <w:sz w:val="18"/>
                <w:szCs w:val="18"/>
              </w:rPr>
              <w:t xml:space="preserve"> </w:t>
            </w:r>
          </w:p>
          <w:p w:rsidR="00390036" w:rsidRPr="00AE534D" w:rsidRDefault="00390036" w:rsidP="00390036">
            <w:pPr>
              <w:spacing w:line="211" w:lineRule="auto"/>
              <w:jc w:val="both"/>
              <w:rPr>
                <w:sz w:val="18"/>
                <w:szCs w:val="18"/>
              </w:rPr>
            </w:pPr>
            <w:r w:rsidRPr="00AE534D">
              <w:rPr>
                <w:sz w:val="18"/>
                <w:szCs w:val="18"/>
              </w:rPr>
              <w:t xml:space="preserve">Αντίθετα, επιτρέπεται η απεργία και σε περιπτώσεις όπου ο σκοπός είναι, μεταξύ άλλων, κυρίως η έκφραση συμπαράστασης σε συνδικάτο που κηρύσσει νόμιμη απεργία, και για να ασκηθεί πίεση στον εργοδότη που δεν εκπληρώνει τις συμβατικές του υποχρεώσεις πληρωμής των δεδουλευμένων στους εργαζόμενους. Σε κάθε περίπτωση, η πρόθεση απεργίας πρέπει να ανακοινώνεται στην άλλη πλευρά γραπτώς τουλάχιστον 7 ημέρες πριν την έναρξη της, εκτός και αν αυτή η υποχρέωση καθιστά την απεργία άνευ αντικειμένου λόγω ιδιαζουσών συνθηκών, ή πρόκειται για απεργία εναντίον εργοδότη που δεν πληρώνει τους εργαζόμενους. </w:t>
            </w:r>
          </w:p>
          <w:p w:rsidR="00390036" w:rsidRDefault="00390036" w:rsidP="00390036">
            <w:pPr>
              <w:spacing w:line="211" w:lineRule="auto"/>
              <w:jc w:val="both"/>
              <w:rPr>
                <w:b/>
                <w:noProof/>
                <w:sz w:val="24"/>
                <w:szCs w:val="24"/>
              </w:rPr>
            </w:pPr>
            <w:r w:rsidRPr="00AE534D">
              <w:rPr>
                <w:sz w:val="18"/>
                <w:szCs w:val="18"/>
              </w:rPr>
              <w:t>Η διαιτησία μπορεί να είναι είτε εθελοντική είτε υποχρεωτική. Εθελοντική είναι όταν στην προσφυγή στη διαιτησία συναινούν και οι δύο πλευρές και, εφόσον, ζητήσει τη συνδρομή του Εθνικού Γραφείου Διαιτησίας η μία ή και οι δύο πλευρές. Αντίθετα, σε περίπτωση που επικρέμεται ο κίνδυνος απεργίας ή έχει ήδη εκδηλωθεί απεργιακή δράση, τότε το Εθνικό Γραφείο Διαιτησίας μπορεί να διορίσει μεσολαβητή χωρίς την ομόφωνη γνώμη των δύο πλευρών (υποχρεωτική διαιτησία), εκτός και αν έχει ήδη υπογραφεί μεταξύ των δύο πλευρών συμφωνία συνεργασίας (που συνήθως περιλαμβάνει ρυθμίσεις για το διορισμό μεσολαβητών και την έκταση των αρμοδιοτήτων τους). Εφόσον το Εθνικό Γραφείο Διαιτησίας διορίζει διαμεσολαβητή, η κυρίαρχη επιδίωξη είναι να επιτευχθεί συμφωνία μεταξύ των δύο πλευρών ώστε να αποφευχθεί τυχόν απεργία. Ο μεσολαβητής μπορεί να ζητήσει τη μετάθεση της απεργίας το πολύ για 14 ημέρες, ενώ δεν έχει τη δύναμη να ανακαλέσει μία απεργία που έχει ήδη εκδηλωθεί. Το Εθνικό Γραφείο Διαιτησίας δεν έχει αρμοδιότητα για τον καθορισμό του μισθού, που επαφίεται αποκλειστικά στους κοινωνικούς εταίρους. Η αρμοδιότητα του Γραφείου συνίσταται στη διαμόρφωση μιας διαδικασίας καθορισμού μισθού όσο το δυνατόν πιο αποτελεσματικής, ώστε οι δύο πλευρές να λαμβάνουν υπόψη τις οικονομικές επιπτώσεις από τη διαμόρφωση του σχετικού κόστους εργασίας ανά μονάδα προϊόντος στην ανταγωνιστικότητα της Σουηδικής οικονομίας έναντι των εμπορικών της εταίρων.</w:t>
            </w:r>
          </w:p>
          <w:p w:rsidR="0061023D" w:rsidRPr="00FD24CE" w:rsidRDefault="0061023D" w:rsidP="00BC4EC3">
            <w:pPr>
              <w:spacing w:line="204" w:lineRule="auto"/>
              <w:jc w:val="both"/>
              <w:rPr>
                <w:b/>
                <w:noProof/>
                <w:sz w:val="24"/>
                <w:szCs w:val="24"/>
              </w:rPr>
            </w:pPr>
            <w:r w:rsidRPr="00FD24CE">
              <w:rPr>
                <w:b/>
                <w:noProof/>
                <w:sz w:val="24"/>
                <w:szCs w:val="24"/>
              </w:rPr>
              <w:t>Πρόσφατες οικονομικές εξελίξεις</w:t>
            </w:r>
          </w:p>
          <w:p w:rsidR="00B27611" w:rsidRPr="004A0776" w:rsidRDefault="00B27611" w:rsidP="00BC4EC3">
            <w:pPr>
              <w:spacing w:line="204" w:lineRule="auto"/>
              <w:jc w:val="both"/>
              <w:rPr>
                <w:sz w:val="18"/>
                <w:szCs w:val="18"/>
              </w:rPr>
            </w:pPr>
            <w:r w:rsidRPr="001F57AB">
              <w:rPr>
                <w:b/>
                <w:sz w:val="18"/>
                <w:szCs w:val="18"/>
                <w:u w:val="single"/>
              </w:rPr>
              <w:t>Προσχέδιο προϋπολογισμού:</w:t>
            </w:r>
            <w:r w:rsidRPr="002F4EAC">
              <w:rPr>
                <w:b/>
                <w:sz w:val="18"/>
                <w:szCs w:val="18"/>
              </w:rPr>
              <w:t xml:space="preserve"> </w:t>
            </w:r>
            <w:r w:rsidRPr="004A0776">
              <w:rPr>
                <w:sz w:val="18"/>
                <w:szCs w:val="18"/>
              </w:rPr>
              <w:t>Στο Προσχέδιο του Κρατικού Προϋπολογισμού 2017 αποτυπώνεται σε πλήρη έκταση το 3</w:t>
            </w:r>
            <w:r w:rsidRPr="004A0776">
              <w:rPr>
                <w:sz w:val="18"/>
                <w:szCs w:val="18"/>
                <w:vertAlign w:val="superscript"/>
              </w:rPr>
              <w:t>ο</w:t>
            </w:r>
            <w:r w:rsidRPr="004A0776">
              <w:rPr>
                <w:sz w:val="18"/>
                <w:szCs w:val="18"/>
              </w:rPr>
              <w:t xml:space="preserve"> Μνημόνιο Συνεργασίας Κυβέρνησης – Δανειστών. Για να επιτευχθεί ο στόχος του 2017 για πρωτογενές πλεόνασμα 1,8 π.μ. του ΑΕΠ ή €3,3 </w:t>
            </w:r>
            <w:r w:rsidRPr="004A0776">
              <w:rPr>
                <w:sz w:val="18"/>
                <w:szCs w:val="18"/>
              </w:rPr>
              <w:lastRenderedPageBreak/>
              <w:t xml:space="preserve">δις με ΑΕΠ €182,3 δις (+3,5% : +2,7% πραγμ. ΑΕΠ, +0,8% αποπληθ. ΑΕΠ), έναντι προσδοκώμενης πραγματοποίησης πρωτογενούς πλεονάσματος 0,6 π.μ. του ΑΕΠ ή €1,1 δις το 2016, </w:t>
            </w:r>
            <w:r w:rsidRPr="004A0776">
              <w:rPr>
                <w:sz w:val="18"/>
                <w:szCs w:val="18"/>
                <w:u w:val="single"/>
              </w:rPr>
              <w:t>ο προϋπολογισμός του 2017 προβλέπει περικοπές δαπανών ύψους μόλις €78,8 εκατ. και αυξήσεις φόρων ύψους €2512,9 εκατ.</w:t>
            </w:r>
            <w:r w:rsidRPr="004A0776">
              <w:rPr>
                <w:sz w:val="18"/>
                <w:szCs w:val="18"/>
              </w:rPr>
              <w:t xml:space="preserve">  (</w:t>
            </w:r>
            <w:r>
              <w:rPr>
                <w:sz w:val="18"/>
                <w:szCs w:val="18"/>
              </w:rPr>
              <w:t>Π</w:t>
            </w:r>
            <w:r w:rsidRPr="004A0776">
              <w:rPr>
                <w:sz w:val="18"/>
                <w:szCs w:val="18"/>
              </w:rPr>
              <w:t xml:space="preserve">ίνακας </w:t>
            </w:r>
            <w:r>
              <w:rPr>
                <w:sz w:val="18"/>
                <w:szCs w:val="18"/>
              </w:rPr>
              <w:t>1</w:t>
            </w:r>
            <w:r w:rsidRPr="004A0776">
              <w:rPr>
                <w:sz w:val="18"/>
                <w:szCs w:val="18"/>
              </w:rPr>
              <w:t>). Αυτή είναι η εικόνα της υπερφορολόγησης που θα επιδράσει αρνητικά στην οικονομική δραστηριότητα το 2017</w:t>
            </w:r>
            <w:r>
              <w:rPr>
                <w:sz w:val="18"/>
                <w:szCs w:val="18"/>
              </w:rPr>
              <w:t>.</w:t>
            </w:r>
            <w:r w:rsidRPr="004A0776">
              <w:rPr>
                <w:sz w:val="18"/>
                <w:szCs w:val="18"/>
              </w:rPr>
              <w:t xml:space="preserve"> </w:t>
            </w:r>
          </w:p>
          <w:p w:rsidR="00B27611" w:rsidRPr="004A0776" w:rsidRDefault="00B27611" w:rsidP="00BC4EC3">
            <w:pPr>
              <w:spacing w:line="204" w:lineRule="auto"/>
              <w:jc w:val="both"/>
              <w:rPr>
                <w:sz w:val="18"/>
                <w:szCs w:val="18"/>
              </w:rPr>
            </w:pPr>
            <w:r w:rsidRPr="004A0776">
              <w:rPr>
                <w:sz w:val="18"/>
                <w:szCs w:val="18"/>
              </w:rPr>
              <w:t xml:space="preserve">Στο πλαίσιο αυτό, οι </w:t>
            </w:r>
            <w:r w:rsidR="00BC4EC3">
              <w:rPr>
                <w:sz w:val="18"/>
                <w:szCs w:val="18"/>
              </w:rPr>
              <w:t>παρεμβάσεις στις δαπάνες</w:t>
            </w:r>
            <w:r w:rsidRPr="004A0776">
              <w:rPr>
                <w:sz w:val="18"/>
                <w:szCs w:val="18"/>
              </w:rPr>
              <w:t xml:space="preserve"> περιλαμβάνουν πρόσθετες περικοπές μισθών €91,3 εκατ. πρόσθετες περικοπές συντάξεων και κοινωνικών παροχών (καθώς και αυξήσεις εισφορών κοινωνικής ασφάλισης) συνολικού ύψους €780 εκατ., πρόσθετες αυξήσεις δαπανών (+€871 εκατ.) για το Εισόδημα Κοινωνικής Αλληλεγγύης (+€571 εκατ.) και για παρεμβάσεις στους τομείς υγείας, παιδείας και κοινωνικής προστασίας (+€300 εκατ.), και, τέλος, πρόσθετες περικοπές δαπανών του ΥΠΕΘΑ ύψους €66 εκατ. και του ΟΑΣΘ κα</w:t>
            </w:r>
            <w:r w:rsidR="00BC4EC3">
              <w:rPr>
                <w:sz w:val="18"/>
                <w:szCs w:val="18"/>
              </w:rPr>
              <w:t>τά</w:t>
            </w:r>
            <w:r w:rsidRPr="004A0776">
              <w:rPr>
                <w:sz w:val="18"/>
                <w:szCs w:val="18"/>
              </w:rPr>
              <w:t xml:space="preserve"> €12,5 εκατ. Πρόκειται, δηλαδή, για μία μαζική αναδιοργάνωση του κοινωνικού κράτους σε μία προσπάθεια εξορθολογισμού του κατακερματισμένου συστήματος παροχών και κοινωνικών δομών και αναμόρφωσης του προνοιακού χάρτη της χώρας. Συνολικά, στη διετία 2016-2017 οι παρεμβάσεις σε επίπεδο δαπανών διαμορφώνονται σε €874,2 εκατ. (εκ των οποίων τα €795,4 εκατ. έχουν ήδη εμφανισθεί το 2016). Η εικόνα αυτή, όμως, είναι πλασματική. Εξαιρουμένης της αύξησης των κοινωνικών δαπανών ύψους €871 εκατ. το 2017 που ουδείς γνωρίζει τους αποδέκτες, οι συνολικές παρεμβάσεις 2016-2017 στο επίπεδο δαπανών ανέρχονται σε €1745,2 εκατ. (εκ των οποίων τα €795,4 εμφανίσθηκαν ήδη το 2016). Με άλλα λόγια, οι περικοπές δαπανών το 2017 θα ανέλθουν σε €949.8, πέραν των όσων περικοπών έγιναν το 2016, δηλ. €795,4 εκατ. Βεβαίως, η πίτα των κοινωνικών δαπανών αναδιανέμεται προς άγνωστη κατεύθυνση, καθώς οι ωφελούμενοι από την πρόσθετη δαπάνη των €871 εκατ. </w:t>
            </w:r>
            <w:r w:rsidR="00BC4EC3">
              <w:rPr>
                <w:sz w:val="18"/>
                <w:szCs w:val="18"/>
              </w:rPr>
              <w:t>μπορεί να</w:t>
            </w:r>
            <w:r w:rsidRPr="004A0776">
              <w:rPr>
                <w:sz w:val="18"/>
                <w:szCs w:val="18"/>
              </w:rPr>
              <w:t xml:space="preserve"> είναι διαφορετικοί από όσους είχαν πρόσβαση στις δαπάνες του κοινωνικού κράτους σύμφωνα με το παλαιό σύστημα. </w:t>
            </w:r>
            <w:r>
              <w:rPr>
                <w:sz w:val="18"/>
                <w:szCs w:val="18"/>
              </w:rPr>
              <w:t>Αν δεν εφαρμοστούν αυστηρά και αποτελεσματικά εισοδηματικά κριτήρια που να καταγράφουν την πραγματική οικονομική κατάσταση των δικαιούχων, τ</w:t>
            </w:r>
            <w:r w:rsidRPr="004A0776">
              <w:rPr>
                <w:sz w:val="18"/>
                <w:szCs w:val="18"/>
              </w:rPr>
              <w:t>ο τοπίο</w:t>
            </w:r>
            <w:r>
              <w:rPr>
                <w:sz w:val="18"/>
                <w:szCs w:val="18"/>
              </w:rPr>
              <w:t xml:space="preserve"> </w:t>
            </w:r>
            <w:r w:rsidRPr="004A0776">
              <w:rPr>
                <w:sz w:val="18"/>
                <w:szCs w:val="18"/>
              </w:rPr>
              <w:t xml:space="preserve">προσφέρεται για άκρατη και άμετρη πολιτική πελατειακής μηχανικής. </w:t>
            </w:r>
          </w:p>
          <w:p w:rsidR="00B27611" w:rsidRPr="004A0776" w:rsidRDefault="00B27611" w:rsidP="00BC4EC3">
            <w:pPr>
              <w:spacing w:line="204" w:lineRule="auto"/>
              <w:jc w:val="both"/>
              <w:rPr>
                <w:b/>
                <w:sz w:val="18"/>
                <w:szCs w:val="18"/>
                <w:u w:val="single"/>
              </w:rPr>
            </w:pPr>
            <w:r w:rsidRPr="004A0776">
              <w:rPr>
                <w:sz w:val="18"/>
                <w:szCs w:val="18"/>
              </w:rPr>
              <w:t>Οι πρόσθετες αυξήσεις φόρων για το 2017 ύψους €2512,9 εκατ. προέρχονται, κυρίως, μεταξύ άλλων, από την αναμόρφωση της φορολογίας εισοδήματος (+€772 εκατ.), από την ειδική εισφορά αλληλεγγύης (+</w:t>
            </w:r>
            <w:r>
              <w:rPr>
                <w:sz w:val="18"/>
                <w:szCs w:val="18"/>
              </w:rPr>
              <w:t>€</w:t>
            </w:r>
            <w:r w:rsidRPr="004A0776">
              <w:rPr>
                <w:sz w:val="18"/>
                <w:szCs w:val="18"/>
              </w:rPr>
              <w:t>678 εκατ.), από τον ΦΠΑ (+</w:t>
            </w:r>
            <w:r>
              <w:rPr>
                <w:sz w:val="18"/>
                <w:szCs w:val="18"/>
              </w:rPr>
              <w:t>€</w:t>
            </w:r>
            <w:r w:rsidRPr="004A0776">
              <w:rPr>
                <w:sz w:val="18"/>
                <w:szCs w:val="18"/>
              </w:rPr>
              <w:t>218,4 εκατ.), από το ΕΦΚ ενεργειακών προϊόντων (+</w:t>
            </w:r>
            <w:r>
              <w:rPr>
                <w:sz w:val="18"/>
                <w:szCs w:val="18"/>
              </w:rPr>
              <w:t>€</w:t>
            </w:r>
            <w:r w:rsidRPr="004A0776">
              <w:rPr>
                <w:sz w:val="18"/>
                <w:szCs w:val="18"/>
              </w:rPr>
              <w:t>439,6 εκατ.), και τον ΕΦΚ στα τσιγάρα και τον καπνό (+€142,0 εκατ.) Οι φόροι που θα επιβαρύνουν τους φορολογούμενους για πρώτη φορά το 2017 περιλαμβάνουν τον φόρο εισοδήματος στα εταιρικά αυτοκίνητα (+€91 εκατ.), την αναμόρφωση φορολογίας στα επενδυτικά προϊόντα (+€19,3 εκατ.), το τέλος συνδρομητών σταθερής τηλεφωνίας (+154,5 εκατ.) ο φόρος στα τσιγάρα κατά τα καπνά (+€142,0 εκατ.) και  φόρος στον καφέ (+€62,0 εκατ.) Πρόκειται για ένα φορολογικό τσουνάμι που θα αφαιρέσει αγοραστική δύναμη ύψους €2512,9 εκατ. το 2017 πέραν των €591,9 εκατ. που αφαιρέθηκαν το 2016. Στα ποσά αυτά θα πρέπει να προστεθεί η αφαίρεση αγοραστικής δύναμης ύψους €949,8 εκατ. λόγω περικοπής δαπανών σε παλαιούς δικαιούχους, πέραν των €795,4 εκατ. που αφαιρέθηκαν το 2016. Σε κάθε περίπτωση, επισημαίνεται ότι η δημοσιονομική προσαρμογή 2016-2017 στο επίπεδο των δαπανών είναι συνολικά €874,2 εκατ. ενώ στο επίπεδο των φόρων ανέρχεται σε €3104,8 εκατ. δηλαδή για κάθε €2 σε δαπάνες αντιστοιχούν €7 σε φόρους. Πρόκειται για μία μη ισορροπημένη προσπάθεια προσαρμογής όπου το κύριο βάρος πέφτει στα συνήθη υποζύγια, με εξάντληση των παραγωγικών δυνατοτήτων των συνεπών φορολογουμένων και με άρωμα πελατειακ</w:t>
            </w:r>
            <w:r w:rsidR="00BC4EC3">
              <w:rPr>
                <w:sz w:val="18"/>
                <w:szCs w:val="18"/>
              </w:rPr>
              <w:t>ών σχέσεων</w:t>
            </w:r>
            <w:r w:rsidRPr="004A0776">
              <w:rPr>
                <w:sz w:val="18"/>
                <w:szCs w:val="18"/>
              </w:rPr>
              <w:t xml:space="preserve"> όσον αφορά στις κοινωνικές δαπάνες και επιδόματα.</w:t>
            </w:r>
          </w:p>
          <w:p w:rsidR="00B27611" w:rsidRPr="001F57AB" w:rsidRDefault="00B27611" w:rsidP="00BC4EC3">
            <w:pPr>
              <w:spacing w:line="204" w:lineRule="auto"/>
              <w:jc w:val="both"/>
              <w:rPr>
                <w:sz w:val="18"/>
                <w:szCs w:val="18"/>
              </w:rPr>
            </w:pPr>
            <w:r w:rsidRPr="001F57AB">
              <w:rPr>
                <w:b/>
                <w:sz w:val="18"/>
                <w:szCs w:val="18"/>
                <w:u w:val="single"/>
              </w:rPr>
              <w:t>Οικονομικό κλίμα:</w:t>
            </w:r>
            <w:r w:rsidRPr="001F57AB">
              <w:rPr>
                <w:sz w:val="18"/>
                <w:szCs w:val="18"/>
              </w:rPr>
              <w:t xml:space="preserve"> Μικρή επιδείνωση παρουσίασε ο δείκτης οικονομικού κλίματος τον Σεπτέμβριο του 2016 (στις 91,4 μονάδες από 92,5 μονάδες τον Αύγουστο), ως αποτέλεσμα κυρίως της υποχώρησης των προσδοκιών στις κατασκευές και τις υπηρεσίες, ενώ το κλίμα στη βιομηχανία παραμένει σχεδόν αμετάβλητο (Διάγραμμα </w:t>
            </w:r>
            <w:r>
              <w:rPr>
                <w:sz w:val="18"/>
                <w:szCs w:val="18"/>
              </w:rPr>
              <w:t>7</w:t>
            </w:r>
            <w:r w:rsidRPr="001F57AB">
              <w:rPr>
                <w:sz w:val="18"/>
                <w:szCs w:val="18"/>
              </w:rPr>
              <w:t xml:space="preserve">). Ειδικότερα, στις κατασκευές η επιδείνωση προέρχεται κυρίως από τις αρνητικές προβλέψεις για το πρόγραμμα των εργασιών το επόμενο τρίμηνο και την απασχόληση, όπως και στις υπηρεσίες, όπου οι προσδοκίες για την εξέλιξη της ζήτησης και των θέσεων εργασίας χειροτερεύουν. Στη βιομηχανία οι θετικές προβλέψεις για την εξέλιξη της παραγωγής το επόμενο διάστημα υποχωρούν, ωστόσο οι αρνητικές εκτιμήσεις για τις παραγγελίες, την τρέχουσα ζήτηση και τις εξαγωγές περιορίζονται. Αντίθετα με τους υπόλοιπους τομείς, </w:t>
            </w:r>
            <w:r w:rsidRPr="001F57AB">
              <w:rPr>
                <w:sz w:val="18"/>
                <w:szCs w:val="18"/>
              </w:rPr>
              <w:lastRenderedPageBreak/>
              <w:t xml:space="preserve">βελτιωμένο εμφανίζεται το κλίμα στο λιανικό εμπόριο, με τις προβλέψεις για τη δραστηριότητα των επιχειρήσεων το επόμενο διάστημα να είναι ιδιαίτερα θετικές, χωρίς όμως αντίστοιχες θετικές προβλέψεις για την εξέλιξη της απασχόλησης, οι οποίες υποχωρούν ελαφρά. Παράλληλα, βελτίωση παρουσιάζει η καταναλωτική εμπιστοσύνη, με την απαισιοδοξία των νοικοκυριών να αμβλύνεται οριακά, κυρίως αναφορικά με τις προσδοκίες για την εξέλιξη της οικονομικής τους κατάστασης, της γενικότερης οικονομικής κατάστασης και τις προβλέψεις τους για την πορεία της ανεργίας. Ωστόσο η απαισιοδοξία των καταναλωτών παραμένει σε υψηλό επίπεδο (το υψηλότερο στην ΕΕ, Διάγραμμα </w:t>
            </w:r>
            <w:r>
              <w:rPr>
                <w:sz w:val="18"/>
                <w:szCs w:val="18"/>
              </w:rPr>
              <w:t>8</w:t>
            </w:r>
            <w:r w:rsidRPr="001F57AB">
              <w:rPr>
                <w:sz w:val="18"/>
                <w:szCs w:val="18"/>
              </w:rPr>
              <w:t xml:space="preserve">). Οι εκτιμήσεις των νοικοκυριών για την αγορά εργασίας παραμένουν ιδιαίτερα απαισιόδοξες, παρά την υποχώρηση του ποσοστού ανεργίας όπως καταγράφεται από την ΕΛΣΤΑΤ, με το ποσοστό αυτών που προβλέπει αύξηση της ανεργίας να διαμορφώνεται τον Σεπτέμβριο του 2016 στο 78%. </w:t>
            </w:r>
          </w:p>
          <w:p w:rsidR="00B27611" w:rsidRPr="001F57AB" w:rsidRDefault="00B27611" w:rsidP="00BC4EC3">
            <w:pPr>
              <w:spacing w:line="204" w:lineRule="auto"/>
              <w:jc w:val="both"/>
              <w:rPr>
                <w:sz w:val="18"/>
                <w:szCs w:val="18"/>
              </w:rPr>
            </w:pPr>
            <w:r w:rsidRPr="001F57AB">
              <w:rPr>
                <w:b/>
                <w:sz w:val="18"/>
                <w:szCs w:val="18"/>
                <w:u w:val="single"/>
                <w:lang w:val="en-US"/>
              </w:rPr>
              <w:t>PMI</w:t>
            </w:r>
            <w:r w:rsidRPr="001F57AB">
              <w:rPr>
                <w:b/>
                <w:sz w:val="18"/>
                <w:szCs w:val="18"/>
                <w:u w:val="single"/>
              </w:rPr>
              <w:t>:</w:t>
            </w:r>
            <w:r w:rsidRPr="001F57AB">
              <w:rPr>
                <w:sz w:val="18"/>
                <w:szCs w:val="18"/>
              </w:rPr>
              <w:t xml:space="preserve"> Υποχώρησε εκ νέου τον Σεπτέμβριο του 2016 ο Δείκτης Υπευθύνων Προμηθειών στη μεταποίηση επιστέφοντας στις 49,2 μονάδες (από 50,4 μονάδες τον προηγούμενο μήνα). Με εξαίρεση τον Ιούλιο του 2015, όταν είχε σημειωθεί η μεγαλύτερη ιστορικά πτώση, ο δείκτης κινείται κοντά στο επίπεδο των 50 μονάδων,  από τις αρχές του 2014, χωρίς να διαγράφει μια συγκεκριμένη τάση (Διάγραμμα </w:t>
            </w:r>
            <w:r>
              <w:rPr>
                <w:sz w:val="18"/>
                <w:szCs w:val="18"/>
              </w:rPr>
              <w:t>9</w:t>
            </w:r>
            <w:r w:rsidRPr="001F57AB">
              <w:rPr>
                <w:sz w:val="18"/>
                <w:szCs w:val="18"/>
              </w:rPr>
              <w:t>). Ειδικότερα, η υποχώρηση του δείκτη τον Σεπτέμβριο του 2016 ήταν αποτέλεσμα της υποχώρησης τόσο της παραγωγής όσο και των νέων παραγγελιών. Ωστόσο, θετικό σημείο αποτελεί το ότι οι επιχειρήσεις εξακολούθησαν να αυξάνουν το εργατικό δυναμικό τους, αν και με ασθενέστερο ρυθμό σε σύγκριση με τους προηγούμενους μήνες. Επίσης, σύμφωνα με τα στοιχεία του δείκτη, τα λειτουργικά περιθώρια κέρδους στη μεταποίηση συμπιέστηκαν περαιτέρω, καθώς οι τιμές χρέωσης μειώθηκαν, παρά την σταθερή αύξηση του κόστους εισροών.</w:t>
            </w:r>
          </w:p>
          <w:p w:rsidR="00B27611" w:rsidRPr="001F57AB" w:rsidRDefault="00B27611" w:rsidP="00BC4EC3">
            <w:pPr>
              <w:spacing w:line="204" w:lineRule="auto"/>
              <w:jc w:val="both"/>
              <w:rPr>
                <w:sz w:val="18"/>
                <w:szCs w:val="18"/>
              </w:rPr>
            </w:pPr>
            <w:r w:rsidRPr="001F57AB">
              <w:rPr>
                <w:b/>
                <w:sz w:val="18"/>
                <w:szCs w:val="18"/>
                <w:u w:val="single"/>
              </w:rPr>
              <w:t>Λιανικές πωλήσεις:</w:t>
            </w:r>
            <w:r w:rsidRPr="001F57AB">
              <w:rPr>
                <w:sz w:val="18"/>
                <w:szCs w:val="18"/>
              </w:rPr>
              <w:t xml:space="preserve"> Σημαντική άνοδο παρουσίασε ο όγκος των λιανικών πωλήσεων τον Ιούλιο του 2016 σε σύγκριση με τον αντίστοιχο μήνα πέρυσι (+9,7% και +9,6% εξαιρουμένων των καυσίμων). Η άνοδος αυτή οφείλεται κυρίως στο ότι η σύγκριση γίνεται με τον Ιούλιο του 2015, όταν είχε σημειωθεί μεγάλη πτώση του όγκου πωλήσεων (-7,2%) λόγω της επιβολής των </w:t>
            </w:r>
            <w:r w:rsidRPr="001F57AB">
              <w:rPr>
                <w:sz w:val="18"/>
                <w:szCs w:val="18"/>
                <w:lang w:val="en-US"/>
              </w:rPr>
              <w:t>capital</w:t>
            </w:r>
            <w:r w:rsidRPr="001F57AB">
              <w:rPr>
                <w:sz w:val="18"/>
                <w:szCs w:val="18"/>
              </w:rPr>
              <w:t xml:space="preserve"> </w:t>
            </w:r>
            <w:r w:rsidRPr="001F57AB">
              <w:rPr>
                <w:sz w:val="18"/>
                <w:szCs w:val="18"/>
                <w:lang w:val="en-US"/>
              </w:rPr>
              <w:t>controls</w:t>
            </w:r>
            <w:r w:rsidRPr="001F57AB">
              <w:rPr>
                <w:sz w:val="18"/>
                <w:szCs w:val="18"/>
              </w:rPr>
              <w:t xml:space="preserve">. Παράλληλα, οι μεταβολές που παρατηρούνται σε επιμέρους κατηγορίες καταστημάτων (Διάγραμμα </w:t>
            </w:r>
            <w:r>
              <w:rPr>
                <w:sz w:val="18"/>
                <w:szCs w:val="18"/>
              </w:rPr>
              <w:t>10</w:t>
            </w:r>
            <w:r w:rsidRPr="001F57AB">
              <w:rPr>
                <w:sz w:val="18"/>
                <w:szCs w:val="18"/>
              </w:rPr>
              <w:t>), όπως πχ η μεγάλη αύξηση των πωλήσεων ειδών ένδυσης και υπόδησης (+45,1% σε σύγκριση με τον Ιούλιο του 2015 και +63,3% σε σύγκριση με τον Ιούνιο του 201</w:t>
            </w:r>
            <w:r>
              <w:rPr>
                <w:sz w:val="18"/>
                <w:szCs w:val="18"/>
              </w:rPr>
              <w:t>6</w:t>
            </w:r>
            <w:r w:rsidRPr="001F57AB">
              <w:rPr>
                <w:sz w:val="18"/>
                <w:szCs w:val="18"/>
              </w:rPr>
              <w:t>), οφείλονται στις εκπτώσεις και στις αγορές ενόψει θερινών διακοπών, ενώ ταυτόχρονα καταδεικνύουν ότι ένα μέρος της ενίσχυσης του όγκου πωλήσεων οφείλεται στην μείωση των συναλλαγών χωρίς έκδοση απόδειξης λόγω της εντατικοποίησης των ελέγχων και της αύξησης των συναλλαγών μέσω καρτών. Συνολικά κατά το διάστημα Ιαν - Ιουλ 2016, ο όγκος των λιανικών πωλήσεων εμφανίζει μείωση -1,8%, ενώ εξαιρουμένων των καυσίμων η πτώση περιορίζεται στο -0,5%, με τη μεγάλη αύξηση στα πολυκαταστήματα (+11,3%) και τα είδη ένδυσης και υπόδησης (+8,7%) να αντισταθμίζει τις μειώσεις στις υ</w:t>
            </w:r>
            <w:r>
              <w:rPr>
                <w:sz w:val="18"/>
                <w:szCs w:val="18"/>
              </w:rPr>
              <w:t>πόλοιπες κατηγορίες (Διάγραμμα 11)</w:t>
            </w:r>
            <w:r w:rsidRPr="001F57AB">
              <w:rPr>
                <w:sz w:val="18"/>
                <w:szCs w:val="18"/>
              </w:rPr>
              <w:t>.</w:t>
            </w:r>
          </w:p>
          <w:p w:rsidR="00B27611" w:rsidRPr="001F57AB" w:rsidRDefault="00B27611" w:rsidP="00BC4EC3">
            <w:pPr>
              <w:spacing w:line="204" w:lineRule="auto"/>
              <w:jc w:val="both"/>
              <w:rPr>
                <w:sz w:val="18"/>
                <w:szCs w:val="18"/>
              </w:rPr>
            </w:pPr>
            <w:r w:rsidRPr="001F57AB">
              <w:rPr>
                <w:b/>
                <w:sz w:val="18"/>
                <w:szCs w:val="18"/>
                <w:u w:val="single"/>
              </w:rPr>
              <w:t>Τιμές παραγωγού:</w:t>
            </w:r>
            <w:r w:rsidRPr="001F57AB">
              <w:rPr>
                <w:sz w:val="18"/>
                <w:szCs w:val="18"/>
              </w:rPr>
              <w:t xml:space="preserve"> Πτώση κατέγραψε τον Αύγουστο του 2016 σε σύγκριση με τον αντίστοιχο μήνα του 2015 ο δείκτης τιμών παραγωγού στη βιομηχανία, η οποία ωστόσο περιορίστηκε στο -4%, έναντι -9,9% τον Αύγουστο του 2015 και -9,1% κατά μέσο όρο το πρώτο 7μηνο του 2016. Στις υπηρεσίες η εικόνα κα</w:t>
            </w:r>
            <w:r w:rsidR="006761D7">
              <w:rPr>
                <w:sz w:val="18"/>
                <w:szCs w:val="18"/>
              </w:rPr>
              <w:t>τά το Β’ 3μηνο του 2016 είναι μει</w:t>
            </w:r>
            <w:r w:rsidRPr="001F57AB">
              <w:rPr>
                <w:sz w:val="18"/>
                <w:szCs w:val="18"/>
              </w:rPr>
              <w:t>κτή: οι τιμές παραγωγού καταγράφουν υποχώρηση σε 11 κλάδους, μεταξύ των οποίων οι αεροπορικές μεταφορές (-10,5%), τα ταχυδρομεία και οι ταχυμεταφορές (-1,4%), ο κλάδος ενημέρωσης (-4,7%) και οι υπηρεσίες καθαρισμού (-4,2%), ενώ σε 7 κλάδους, μεταξύ των οποίων  οι θαλάσσιες μεταφορές (+4,2%), οι τηλεπικοινωνίες (+3,7%) και οι υπηρεσίες αποθήκευσης (+1,5%), οι τιμές παραγωγού εμφανίζουν άνοδο.</w:t>
            </w:r>
          </w:p>
          <w:p w:rsidR="00B27611" w:rsidRDefault="00B27611" w:rsidP="00BC4EC3">
            <w:pPr>
              <w:spacing w:line="204" w:lineRule="auto"/>
              <w:jc w:val="both"/>
              <w:rPr>
                <w:sz w:val="18"/>
                <w:szCs w:val="18"/>
              </w:rPr>
            </w:pPr>
            <w:r w:rsidRPr="001F57AB">
              <w:rPr>
                <w:b/>
                <w:sz w:val="18"/>
                <w:szCs w:val="18"/>
                <w:u w:val="single"/>
              </w:rPr>
              <w:t>Δείκτες απασχόλησης, ωρών και αμοιβών εργασίας:</w:t>
            </w:r>
            <w:r w:rsidRPr="00821BD3">
              <w:rPr>
                <w:sz w:val="18"/>
                <w:szCs w:val="18"/>
              </w:rPr>
              <w:t xml:space="preserve"> </w:t>
            </w:r>
            <w:r>
              <w:rPr>
                <w:sz w:val="18"/>
                <w:szCs w:val="18"/>
              </w:rPr>
              <w:t>Το Β’ 3μηνο του 2016 καταγράφεται α</w:t>
            </w:r>
            <w:r w:rsidRPr="00821BD3">
              <w:rPr>
                <w:sz w:val="18"/>
                <w:szCs w:val="18"/>
              </w:rPr>
              <w:t>ύξηση</w:t>
            </w:r>
            <w:r>
              <w:rPr>
                <w:sz w:val="18"/>
                <w:szCs w:val="18"/>
              </w:rPr>
              <w:t>, σε σύγκριση με το αντίστοιχο 3μηνο του 2015, στους δείκτες ωρών εργασίας και συνολικών αμοιβών στους περισσότερους βασικούς κλάδους της οικονομίας, από τους οποίους ξεχωρίζουν οι κλάδοι των κατασκευών και μεταφοράς και αποθήκευσης (Πίνακας 2). Ειδικότερα στη μεταποίηση οι δείκτες ωρών εργασίας και αμοιβών εμφανίζουν άνοδο +4,2% και +3,1% αντίστοιχα, ενώ από το Α’ 3μηνο του 2013 διαμορφώνουν μια ανοδική τάση (Διάγραμμα 12). Σημειώνεται ότι οι εν λόγω δείκτες αφορούν στο σύνολο των απασχολουμένων (μισθωτών και ελεύθερων επαγγελματιών) ανεξαρτήτως είδους απασχόλησης (πλήρης, μερική, εποχική κ</w:t>
            </w:r>
            <w:r w:rsidR="0085453C">
              <w:rPr>
                <w:sz w:val="18"/>
                <w:szCs w:val="18"/>
              </w:rPr>
              <w:t>.</w:t>
            </w:r>
            <w:r>
              <w:rPr>
                <w:sz w:val="18"/>
                <w:szCs w:val="18"/>
              </w:rPr>
              <w:t xml:space="preserve">λπ.) και στο σύνολο των αμοιβών που </w:t>
            </w:r>
            <w:r>
              <w:rPr>
                <w:sz w:val="18"/>
                <w:szCs w:val="18"/>
              </w:rPr>
              <w:lastRenderedPageBreak/>
              <w:t>καταβάλλονται ως αντάλλαγμα της εργασίας.</w:t>
            </w:r>
          </w:p>
          <w:p w:rsidR="00BC4EC3" w:rsidRDefault="00BC4EC3" w:rsidP="00BC4EC3">
            <w:pPr>
              <w:spacing w:line="204" w:lineRule="auto"/>
              <w:jc w:val="both"/>
              <w:rPr>
                <w:b/>
                <w:bCs/>
              </w:rPr>
            </w:pPr>
          </w:p>
          <w:p w:rsidR="003A2ED7" w:rsidRPr="00BC4EC3" w:rsidRDefault="003A2ED7" w:rsidP="00BC4EC3">
            <w:pPr>
              <w:spacing w:line="204" w:lineRule="auto"/>
              <w:jc w:val="both"/>
            </w:pPr>
            <w:r w:rsidRPr="00BC4EC3">
              <w:rPr>
                <w:b/>
                <w:bCs/>
              </w:rPr>
              <w:t>Το ΔΝΤ για την Ελλάδα και την παγκόσμια οικονομία</w:t>
            </w:r>
          </w:p>
          <w:p w:rsidR="00822401" w:rsidRPr="00822401" w:rsidRDefault="003A2ED7" w:rsidP="00822401">
            <w:pPr>
              <w:spacing w:line="204" w:lineRule="auto"/>
              <w:jc w:val="both"/>
              <w:rPr>
                <w:sz w:val="18"/>
                <w:szCs w:val="18"/>
              </w:rPr>
            </w:pPr>
            <w:r w:rsidRPr="00BC4EC3">
              <w:rPr>
                <w:sz w:val="18"/>
                <w:szCs w:val="18"/>
              </w:rPr>
              <w:t>Στο πλαίσιο των φθινοπωρινών προβλέψεων για την παγκόσμια οικονομία (</w:t>
            </w:r>
            <w:hyperlink r:id="rId14" w:history="1">
              <w:r w:rsidRPr="00BC4EC3">
                <w:rPr>
                  <w:rStyle w:val="-"/>
                  <w:sz w:val="18"/>
                  <w:szCs w:val="18"/>
                  <w:lang w:val="en-US"/>
                </w:rPr>
                <w:t>World</w:t>
              </w:r>
              <w:r w:rsidRPr="00BC4EC3">
                <w:rPr>
                  <w:rStyle w:val="-"/>
                  <w:sz w:val="18"/>
                  <w:szCs w:val="18"/>
                </w:rPr>
                <w:t xml:space="preserve"> </w:t>
              </w:r>
              <w:r w:rsidRPr="00BC4EC3">
                <w:rPr>
                  <w:rStyle w:val="-"/>
                  <w:sz w:val="18"/>
                  <w:szCs w:val="18"/>
                  <w:lang w:val="en-US"/>
                </w:rPr>
                <w:t>Economic</w:t>
              </w:r>
              <w:r w:rsidRPr="00BC4EC3">
                <w:rPr>
                  <w:rStyle w:val="-"/>
                  <w:sz w:val="18"/>
                  <w:szCs w:val="18"/>
                </w:rPr>
                <w:t xml:space="preserve"> </w:t>
              </w:r>
              <w:r w:rsidRPr="00BC4EC3">
                <w:rPr>
                  <w:rStyle w:val="-"/>
                  <w:sz w:val="18"/>
                  <w:szCs w:val="18"/>
                  <w:lang w:val="en-US"/>
                </w:rPr>
                <w:t>Outlook</w:t>
              </w:r>
            </w:hyperlink>
            <w:r w:rsidRPr="00BC4EC3">
              <w:rPr>
                <w:sz w:val="18"/>
                <w:szCs w:val="18"/>
              </w:rPr>
              <w:t xml:space="preserve"> και </w:t>
            </w:r>
            <w:hyperlink r:id="rId15" w:history="1">
              <w:r w:rsidRPr="00BC4EC3">
                <w:rPr>
                  <w:rStyle w:val="-"/>
                  <w:sz w:val="18"/>
                  <w:szCs w:val="18"/>
                  <w:lang w:val="en-US"/>
                </w:rPr>
                <w:t>Fiscal</w:t>
              </w:r>
              <w:r w:rsidRPr="00BC4EC3">
                <w:rPr>
                  <w:rStyle w:val="-"/>
                  <w:sz w:val="18"/>
                  <w:szCs w:val="18"/>
                </w:rPr>
                <w:t xml:space="preserve"> </w:t>
              </w:r>
              <w:r w:rsidRPr="00BC4EC3">
                <w:rPr>
                  <w:rStyle w:val="-"/>
                  <w:sz w:val="18"/>
                  <w:szCs w:val="18"/>
                  <w:lang w:val="en-US"/>
                </w:rPr>
                <w:t>Monitor</w:t>
              </w:r>
            </w:hyperlink>
            <w:r w:rsidRPr="00BC4EC3">
              <w:rPr>
                <w:sz w:val="18"/>
                <w:szCs w:val="18"/>
              </w:rPr>
              <w:t xml:space="preserve">), </w:t>
            </w:r>
            <w:r w:rsidR="00822401" w:rsidRPr="00822401">
              <w:rPr>
                <w:sz w:val="18"/>
                <w:szCs w:val="18"/>
              </w:rPr>
              <w:t xml:space="preserve">το ΔΝΤ προβλέπει ρυθμό ανάπτυξης 0,1% και 2,8% για το 2016 και 2017 αντιστοίχως (και 3,7% το δ’ τρίμηνο του 2017, Πίνακας </w:t>
            </w:r>
            <w:r w:rsidR="00822401">
              <w:rPr>
                <w:sz w:val="18"/>
                <w:szCs w:val="18"/>
              </w:rPr>
              <w:t>3</w:t>
            </w:r>
            <w:r w:rsidR="00822401" w:rsidRPr="00822401">
              <w:rPr>
                <w:sz w:val="18"/>
                <w:szCs w:val="18"/>
              </w:rPr>
              <w:t>), έναντι προβλέψεων για 0,3% και 2,7% της ελληνικής κυβέρνησης και της Ευρωπαϊκής Επιτροπής, και, ασθενέστερη αναπτυξιακή πορεία μεσοπρόθεσμα (1,8% το 2021). Οι προβλέψεις αυτές είναι συμβατές με μικρότερα πρωτογενή πλεονάσματα καθώς ο δυνητικός ρυθμός ανάπτυξης παραμένει χαμηλός, και συνεπώς η βιωσιμότ</w:t>
            </w:r>
            <w:r w:rsidR="0085453C">
              <w:rPr>
                <w:sz w:val="18"/>
                <w:szCs w:val="18"/>
              </w:rPr>
              <w:t>ητα του χρέους μακροπρόθεσμα δε</w:t>
            </w:r>
            <w:r w:rsidR="00822401" w:rsidRPr="00822401">
              <w:rPr>
                <w:sz w:val="18"/>
                <w:szCs w:val="18"/>
              </w:rPr>
              <w:t xml:space="preserve"> διασφαλίζεται χωρίς την αναδιάρθρωση του. Υπενθυμίζεται ότι, σύμφωνα με τα προκαταρκτικά ευρήματα της έκθεσης στο πλαίσιο της ετήσιας εξέτασης της ελληνικής οικονομίας που ολοκληρώθηκε πρόσφατα, το ΔΝΤ σημειώνει ότι η οικονομία βρίσκεται σε στασιμότητα με ασθενείς προοπτικές ανάπτυξης, υποκείμενες μάλιστα σε δυνάμεις που δυνητικά οδηγούν σε χαμηλότερες αναπτυξιακές επιδόσεις. Έτσι, το ΔΝΤ προτείνει μείωση της υπερφορολόγησης, με ταυτόχρονη ανάληψη μεγαλύτερου φορολογικού βάρους από όσους δεν πληρώνουν καθόλου φόρους (άνω του 50% των εν δυνάμει φορολογουμένων), και μείωση της συνταξιοδοτικής δαπάνης με μεταφορά των αντίστοιχων πόρων στη στήριξη των κοινωνικά ευάλωτων ομ</w:t>
            </w:r>
            <w:r w:rsidR="00ED44D6">
              <w:rPr>
                <w:sz w:val="18"/>
                <w:szCs w:val="18"/>
              </w:rPr>
              <w:t>άδων. Η αναδιάρθρωση αυτή του μεί</w:t>
            </w:r>
            <w:r w:rsidR="00822401" w:rsidRPr="00822401">
              <w:rPr>
                <w:sz w:val="18"/>
                <w:szCs w:val="18"/>
              </w:rPr>
              <w:t xml:space="preserve">γματος πολιτικής μπορεί να οδηγήσει στην επίτευξη υψηλότερων και πιο διατηρήσιμων αναπτυξιακών στόχων. Συνεπώς, αν και οι προβλέψεις του ΔΝΤ για ανάπτυξη δεν διαφέρουν σημαντικά από τις επίσημες ελληνικές προβλέψεις, εν τούτοις, οι προβλέψεις του ΔΝΤ για πρωτογενή πλεονάσματα της γενικής κυβέρνησης 0,1% και 0,7% για το 2016 και 2017 αντιστοίχως (έναντι 0,6% και 1,8% αντίστοιχα σύμφωνα με το προσχέδιο του προϋπολογισμού και 0,5% και 1,75% αντίστοιχα σύμφωνα με το μνημόνιο), αποτυπώνουν τη δυσπιστία του ΔΝΤ ως προς την αποδοτικότητα των μέτρων που, ακόμη και αν εφαρμοσθούν ως έχουν προταθεί, οδηγούν σε χαμηλότερα πρωτογενή πλεονάσματα από τους στόχους του Μνημονίου. Επιπρόσθετα, το ΔΝΤ θεωρεί ότι το πρωτογενές πλεόνασμα από το 2018 έως και το 2021 δεν θα ξεπεράσει το 1,6% του ΑΕΠ, ενώ οι εκτιμήσεις της ελληνικής Κυβέρνησης κάνουν λόγο για 3,5% (Πίνακας </w:t>
            </w:r>
            <w:r w:rsidR="00822401">
              <w:rPr>
                <w:sz w:val="18"/>
                <w:szCs w:val="18"/>
              </w:rPr>
              <w:t>4, Διάγραμμα 13</w:t>
            </w:r>
            <w:r w:rsidR="00822401" w:rsidRPr="00822401">
              <w:rPr>
                <w:sz w:val="18"/>
                <w:szCs w:val="18"/>
              </w:rPr>
              <w:t>). Με βάση αυτά τα στοιχεία εμφανίζεται μια διαφορά της τάξης των 3,5 δισ. ευρώ ετησίως η οποία θα πρέπει να καλυφθεί με πρόσθετα μέτρα ή με αναπροσαρμογή των στόχων για τα πρωτογενή πλεονάσματα που περιλαμβάνονται στο βασικό σενάριο των Θεσμών για τη βιωσιμότητα του χρέους. Προβλέψεις αυτού του είδους, εάν πραγματοποιηθούν, οδηγούν σε ενεργοποίηση του δημοσιονομικού «κόφτη», που εκτιμάται ότι δεν πρόκειται να συμβεί καθ’ ότι η κυβέρνηση έχει τη δυνατότητα να δημιουργήσει, προς αποφυγή του ενδεχομένου αυτού, αποθεματικά αξιόλογου ύψους, καθυστερώντας την αποτύπωση δαπανών στον προϋπολογισμό, κυρίως στον συνταξιοδοτικό τομέα.</w:t>
            </w:r>
          </w:p>
          <w:p w:rsidR="00822401" w:rsidRPr="00822401" w:rsidRDefault="00822401" w:rsidP="00822401">
            <w:pPr>
              <w:spacing w:line="204" w:lineRule="auto"/>
              <w:jc w:val="both"/>
              <w:rPr>
                <w:sz w:val="18"/>
                <w:szCs w:val="18"/>
              </w:rPr>
            </w:pPr>
            <w:r w:rsidRPr="00822401">
              <w:rPr>
                <w:sz w:val="18"/>
                <w:szCs w:val="18"/>
              </w:rPr>
              <w:t xml:space="preserve">Πιο αναλυτικά, το ΔΝΤ εκτιμά ότι, παρά τους νέους φόρους, τα έσοδα ως ποσοστό του ΑΕΠ θα μειωθούν στο 47,2% το 2016 και στο 46,2% το 2017 από 48,1% το 2015 και θα συνεχίσουν να μειώνονται μέχρι το 2021, οπότε θα φτάσουν στο 43,2%. Πτωτική τάση προβλέπεται για τις δαπάνες, οι οποίες από 51,1% του ΑΕΠ το 2015 θα διαμορφωθούν στο 50,5% και 48,9% το 2016 και το 2017 αντίστοιχα, ενώ για το χρέος εκτιμάται ότι θα ανέλθει στο 184,7% του ΑΕΠ το 2017 ενώ θα αρχίσει να μειώνεται μετά το 2018 (Πίνακας </w:t>
            </w:r>
            <w:r>
              <w:rPr>
                <w:sz w:val="18"/>
                <w:szCs w:val="18"/>
              </w:rPr>
              <w:t>5, Διάγραμμα 14</w:t>
            </w:r>
            <w:r w:rsidRPr="00822401">
              <w:rPr>
                <w:sz w:val="18"/>
                <w:szCs w:val="18"/>
              </w:rPr>
              <w:t>), αντίθετα με το προσχέδιο του προϋπολογισμού το οποίο περιλαμβάνει πιο αισιόδοξες εκτιμήσεις (178,9% το 2016, και 174,8% το 2017).</w:t>
            </w:r>
          </w:p>
          <w:p w:rsidR="00BC4EC3" w:rsidRPr="001F57AB" w:rsidRDefault="00822401" w:rsidP="00822401">
            <w:pPr>
              <w:spacing w:line="204" w:lineRule="auto"/>
              <w:jc w:val="both"/>
              <w:rPr>
                <w:sz w:val="18"/>
                <w:szCs w:val="18"/>
              </w:rPr>
            </w:pPr>
            <w:r w:rsidRPr="00822401">
              <w:rPr>
                <w:sz w:val="18"/>
                <w:szCs w:val="18"/>
              </w:rPr>
              <w:t xml:space="preserve">Αναφορικά με την παγκόσμια ανάπτυξη, οι προβλέψεις του ΔΝΤ κάνουν λόγο για επιβράδυνση στο επίπεδο του +3,1%, από +3,2% το 2015 και για ανάκαμψη το 2017 στο +3,4%. Η εξασθένιση του ρυθμού ανάπτυξης της παγκόσμιας οικονομίας αποδίδεται από το ΔΝΤ κυρίως στη χαμηλότερη από την αναμενόμενη ανάπτυξη στις ΗΠΑ το πρώτο εξάμηνο του 2016 (πρόβλεψη για ανάπτυξη +1,6% το 2016 και +2,2% το 2017) και στην απόφαση του Ηνωμένου Βασιλείου να εξέλθει από την ΕΕ (πρόβλεψη για ανάπτυξη +1,8% το 2016 και +1,1% το 2017), γεγονός το οποίο θα έχει επιπτώσεις στον όγκο του εμπορίου μεταξύ του Ηνωμένου Βασιλείου και της υπόλοιπης ΕΕ. Ως εκ τούτου, στις ανεπτυγμένες χώρες η ανάπτυξη θα περιοριστεί στο +1,6% το 2016 και +1,8% το 2017, ενώ για την Ευρωζώνη το ΔΝΤ εκτιμά πως θα αναπτυχθεί κατά +1,7% το 2016 και κατά +1,5% το 2017, με τη Γερμανία να βρίσκεται περίπου στο μέσο μεταξύ των </w:t>
            </w:r>
            <w:r w:rsidRPr="00822401">
              <w:rPr>
                <w:sz w:val="18"/>
                <w:szCs w:val="18"/>
              </w:rPr>
              <w:lastRenderedPageBreak/>
              <w:t xml:space="preserve">ανεπτυγμένων χωρών (+1,7% το 2016 και +1,4% το 2017, Πίνακας </w:t>
            </w:r>
            <w:r>
              <w:rPr>
                <w:sz w:val="18"/>
                <w:szCs w:val="18"/>
              </w:rPr>
              <w:t>6</w:t>
            </w:r>
            <w:r w:rsidRPr="00822401">
              <w:rPr>
                <w:sz w:val="18"/>
                <w:szCs w:val="18"/>
              </w:rPr>
              <w:t>).</w:t>
            </w:r>
          </w:p>
          <w:p w:rsidR="00DB161C" w:rsidRPr="001F57AB" w:rsidRDefault="00DB161C" w:rsidP="00390036">
            <w:pPr>
              <w:spacing w:line="211" w:lineRule="auto"/>
              <w:jc w:val="both"/>
              <w:rPr>
                <w:sz w:val="18"/>
                <w:szCs w:val="18"/>
              </w:rPr>
            </w:pPr>
          </w:p>
          <w:p w:rsidR="00FD24CE" w:rsidRDefault="00FD24CE" w:rsidP="00FD24CE">
            <w:pPr>
              <w:spacing w:line="216" w:lineRule="auto"/>
              <w:jc w:val="both"/>
              <w:rPr>
                <w:b/>
                <w:noProof/>
                <w:sz w:val="24"/>
                <w:szCs w:val="24"/>
              </w:rPr>
            </w:pPr>
          </w:p>
          <w:p w:rsidR="00B2438C" w:rsidRPr="001F57AB" w:rsidRDefault="00B62E7B" w:rsidP="00FD24CE">
            <w:pPr>
              <w:spacing w:line="216" w:lineRule="auto"/>
              <w:jc w:val="both"/>
              <w:rPr>
                <w:noProof/>
                <w:sz w:val="18"/>
                <w:szCs w:val="18"/>
              </w:rPr>
            </w:pPr>
            <w:r w:rsidRPr="001F57AB">
              <w:rPr>
                <w:noProof/>
                <w:sz w:val="18"/>
                <w:szCs w:val="18"/>
              </w:rPr>
              <w:t xml:space="preserve"> </w:t>
            </w:r>
          </w:p>
        </w:tc>
        <w:tc>
          <w:tcPr>
            <w:tcW w:w="5267" w:type="dxa"/>
          </w:tcPr>
          <w:p w:rsidR="00A03B73" w:rsidRDefault="00A03B73" w:rsidP="00AF19A2">
            <w:pPr>
              <w:rPr>
                <w:b/>
                <w:color w:val="7030A0"/>
                <w:sz w:val="20"/>
                <w:szCs w:val="20"/>
                <w:u w:val="single"/>
              </w:rPr>
            </w:pPr>
          </w:p>
          <w:p w:rsidR="00A03B73" w:rsidRPr="00967753" w:rsidRDefault="00A03B73" w:rsidP="00A03B73">
            <w:pPr>
              <w:rPr>
                <w:color w:val="7030A0"/>
                <w:sz w:val="20"/>
                <w:szCs w:val="20"/>
              </w:rPr>
            </w:pPr>
            <w:r w:rsidRPr="00D469A7">
              <w:rPr>
                <w:b/>
                <w:color w:val="7030A0"/>
                <w:sz w:val="20"/>
                <w:szCs w:val="20"/>
                <w:u w:val="single"/>
              </w:rPr>
              <w:lastRenderedPageBreak/>
              <w:t xml:space="preserve">Διάγραμμα </w:t>
            </w:r>
            <w:r>
              <w:rPr>
                <w:b/>
                <w:color w:val="7030A0"/>
                <w:sz w:val="20"/>
                <w:szCs w:val="20"/>
                <w:u w:val="single"/>
              </w:rPr>
              <w:t>1:</w:t>
            </w:r>
            <w:r>
              <w:rPr>
                <w:color w:val="7030A0"/>
                <w:sz w:val="20"/>
                <w:szCs w:val="20"/>
              </w:rPr>
              <w:t xml:space="preserve"> </w:t>
            </w:r>
            <w:r>
              <w:rPr>
                <w:b/>
                <w:color w:val="7030A0"/>
                <w:sz w:val="20"/>
                <w:szCs w:val="20"/>
              </w:rPr>
              <w:t xml:space="preserve">Ρύθμιση απολύσεων στη Σουηδία σε σχέση με τον ΟΟΣΑ και την Ελλάδα, 2013. </w:t>
            </w:r>
            <w:r>
              <w:rPr>
                <w:color w:val="7030A0"/>
                <w:sz w:val="20"/>
                <w:szCs w:val="20"/>
              </w:rPr>
              <w:t>(</w:t>
            </w:r>
            <w:hyperlink r:id="rId16" w:history="1">
              <w:r w:rsidRPr="00A03B73">
                <w:rPr>
                  <w:rStyle w:val="-"/>
                  <w:sz w:val="20"/>
                  <w:szCs w:val="20"/>
                </w:rPr>
                <w:t>ΟΟΣΑ</w:t>
              </w:r>
            </w:hyperlink>
            <w:r>
              <w:rPr>
                <w:color w:val="7030A0"/>
                <w:sz w:val="20"/>
                <w:szCs w:val="20"/>
              </w:rPr>
              <w:t>, δείκτες για ρύθμιση εργασιακών σχέσεων σε ό</w:t>
            </w:r>
            <w:r w:rsidR="00921494">
              <w:rPr>
                <w:color w:val="7030A0"/>
                <w:sz w:val="20"/>
                <w:szCs w:val="20"/>
              </w:rPr>
              <w:t>,</w:t>
            </w:r>
            <w:r>
              <w:rPr>
                <w:color w:val="7030A0"/>
                <w:sz w:val="20"/>
                <w:szCs w:val="20"/>
              </w:rPr>
              <w:t>τι αφορά απολύσεις)</w:t>
            </w:r>
          </w:p>
          <w:p w:rsidR="00A03B73" w:rsidRPr="00A03B73" w:rsidRDefault="00B62670" w:rsidP="00AF19A2">
            <w:pPr>
              <w:rPr>
                <w:b/>
                <w:color w:val="7030A0"/>
                <w:sz w:val="20"/>
                <w:szCs w:val="20"/>
              </w:rPr>
            </w:pPr>
            <w:r>
              <w:rPr>
                <w:noProof/>
              </w:rPr>
              <w:drawing>
                <wp:inline distT="0" distB="0" distL="0" distR="0">
                  <wp:extent cx="3239135" cy="32065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8691" t="2706" r="2331" b="1046"/>
                          <a:stretch/>
                        </pic:blipFill>
                        <pic:spPr bwMode="auto">
                          <a:xfrm>
                            <a:off x="0" y="0"/>
                            <a:ext cx="3240000" cy="3207392"/>
                          </a:xfrm>
                          <a:prstGeom prst="rect">
                            <a:avLst/>
                          </a:prstGeom>
                          <a:noFill/>
                          <a:ln>
                            <a:noFill/>
                          </a:ln>
                          <a:extLst>
                            <a:ext uri="{53640926-AAD7-44D8-BBD7-CCE9431645EC}">
                              <a14:shadowObscured xmlns:a14="http://schemas.microsoft.com/office/drawing/2010/main"/>
                            </a:ext>
                          </a:extLst>
                        </pic:spPr>
                      </pic:pic>
                    </a:graphicData>
                  </a:graphic>
                </wp:inline>
              </w:drawing>
            </w:r>
          </w:p>
          <w:p w:rsidR="00967753" w:rsidRDefault="00B37BD4" w:rsidP="00AF19A2">
            <w:pPr>
              <w:rPr>
                <w:b/>
                <w:color w:val="7030A0"/>
                <w:sz w:val="20"/>
                <w:szCs w:val="20"/>
              </w:rPr>
            </w:pPr>
            <w:r w:rsidRPr="00D469A7">
              <w:rPr>
                <w:b/>
                <w:color w:val="7030A0"/>
                <w:sz w:val="20"/>
                <w:szCs w:val="20"/>
                <w:u w:val="single"/>
              </w:rPr>
              <w:t xml:space="preserve">Διάγραμμα </w:t>
            </w:r>
            <w:r w:rsidR="00A03B73">
              <w:rPr>
                <w:b/>
                <w:color w:val="7030A0"/>
                <w:sz w:val="20"/>
                <w:szCs w:val="20"/>
                <w:u w:val="single"/>
              </w:rPr>
              <w:t>2</w:t>
            </w:r>
            <w:r>
              <w:rPr>
                <w:b/>
                <w:color w:val="7030A0"/>
                <w:sz w:val="20"/>
                <w:szCs w:val="20"/>
                <w:u w:val="single"/>
              </w:rPr>
              <w:t>:</w:t>
            </w:r>
            <w:r w:rsidR="00967753">
              <w:rPr>
                <w:color w:val="7030A0"/>
                <w:sz w:val="20"/>
                <w:szCs w:val="20"/>
              </w:rPr>
              <w:t xml:space="preserve"> </w:t>
            </w:r>
            <w:r w:rsidR="00967753">
              <w:rPr>
                <w:b/>
                <w:color w:val="7030A0"/>
                <w:sz w:val="20"/>
                <w:szCs w:val="20"/>
              </w:rPr>
              <w:t>Απελευθέρωση αγορών δικτύων στη Σουηδία</w:t>
            </w:r>
            <w:r w:rsidR="00783704" w:rsidRPr="00783704">
              <w:rPr>
                <w:b/>
                <w:color w:val="7030A0"/>
                <w:sz w:val="20"/>
                <w:szCs w:val="20"/>
              </w:rPr>
              <w:t xml:space="preserve"> </w:t>
            </w:r>
            <w:r w:rsidR="00783704">
              <w:rPr>
                <w:b/>
                <w:color w:val="7030A0"/>
                <w:sz w:val="20"/>
                <w:szCs w:val="20"/>
              </w:rPr>
              <w:t xml:space="preserve">και </w:t>
            </w:r>
            <w:r w:rsidR="00967753">
              <w:rPr>
                <w:b/>
                <w:color w:val="7030A0"/>
                <w:sz w:val="20"/>
                <w:szCs w:val="20"/>
              </w:rPr>
              <w:t xml:space="preserve">την Ελλάδα. </w:t>
            </w:r>
            <w:r w:rsidR="00967753">
              <w:rPr>
                <w:color w:val="7030A0"/>
                <w:sz w:val="20"/>
                <w:szCs w:val="20"/>
              </w:rPr>
              <w:t>(</w:t>
            </w:r>
            <w:hyperlink r:id="rId18" w:anchor="indicators" w:history="1">
              <w:r w:rsidR="00967753" w:rsidRPr="00A03B73">
                <w:rPr>
                  <w:rStyle w:val="-"/>
                  <w:sz w:val="20"/>
                  <w:szCs w:val="20"/>
                </w:rPr>
                <w:t>ΟΟΣΑ</w:t>
              </w:r>
            </w:hyperlink>
            <w:r w:rsidR="00967753">
              <w:rPr>
                <w:color w:val="7030A0"/>
                <w:sz w:val="20"/>
                <w:szCs w:val="20"/>
              </w:rPr>
              <w:t xml:space="preserve">, δείκτης για </w:t>
            </w:r>
            <w:r w:rsidR="00962CB6">
              <w:rPr>
                <w:color w:val="7030A0"/>
                <w:sz w:val="20"/>
                <w:szCs w:val="20"/>
              </w:rPr>
              <w:t>δίκτυα αεροπορικών, οδικών και σιδηροδρομικών μεταφορών, ηλεκτρική ενέργεια και φυσικό αέριο, επικοινωνίες, ταχυδρομεία. Υψηλότερος δείκτης = πιο αυστηρή ρύθμιση)</w:t>
            </w:r>
            <w:r w:rsidRPr="00D469A7">
              <w:rPr>
                <w:b/>
                <w:color w:val="7030A0"/>
                <w:sz w:val="20"/>
                <w:szCs w:val="20"/>
              </w:rPr>
              <w:t xml:space="preserve"> </w:t>
            </w:r>
            <w:r w:rsidR="00962CB6">
              <w:rPr>
                <w:b/>
                <w:noProof/>
                <w:color w:val="7030A0"/>
                <w:sz w:val="20"/>
                <w:szCs w:val="20"/>
              </w:rPr>
              <w:drawing>
                <wp:inline distT="0" distB="0" distL="0" distR="0">
                  <wp:extent cx="3239135" cy="17644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5108" cy="1767660"/>
                          </a:xfrm>
                          <a:prstGeom prst="rect">
                            <a:avLst/>
                          </a:prstGeom>
                          <a:noFill/>
                        </pic:spPr>
                      </pic:pic>
                    </a:graphicData>
                  </a:graphic>
                </wp:inline>
              </w:drawing>
            </w:r>
          </w:p>
          <w:p w:rsidR="00D50248" w:rsidRPr="000A023A" w:rsidRDefault="00AB0970" w:rsidP="00D50248">
            <w:pPr>
              <w:rPr>
                <w:color w:val="7030A0"/>
                <w:sz w:val="20"/>
                <w:szCs w:val="20"/>
              </w:rPr>
            </w:pPr>
            <w:r>
              <w:rPr>
                <w:b/>
                <w:noProof/>
                <w:color w:val="7030A0"/>
                <w:sz w:val="20"/>
                <w:szCs w:val="20"/>
                <w:u w:val="single"/>
              </w:rPr>
              <w:t xml:space="preserve">Διάγραμμα </w:t>
            </w:r>
            <w:r w:rsidRPr="00AB0970">
              <w:rPr>
                <w:b/>
                <w:noProof/>
                <w:color w:val="7030A0"/>
                <w:sz w:val="20"/>
                <w:szCs w:val="20"/>
                <w:u w:val="single"/>
              </w:rPr>
              <w:t>3</w:t>
            </w:r>
            <w:r w:rsidR="00D50248" w:rsidRPr="000A023A">
              <w:rPr>
                <w:b/>
                <w:noProof/>
                <w:color w:val="7030A0"/>
                <w:sz w:val="20"/>
                <w:szCs w:val="20"/>
                <w:u w:val="single"/>
              </w:rPr>
              <w:t>:</w:t>
            </w:r>
            <w:r w:rsidR="00D50248" w:rsidRPr="000A023A">
              <w:rPr>
                <w:b/>
                <w:noProof/>
                <w:color w:val="7030A0"/>
                <w:sz w:val="20"/>
                <w:szCs w:val="20"/>
              </w:rPr>
              <w:t xml:space="preserve"> </w:t>
            </w:r>
            <w:r w:rsidR="000A023A">
              <w:rPr>
                <w:b/>
                <w:noProof/>
                <w:color w:val="7030A0"/>
                <w:sz w:val="20"/>
                <w:szCs w:val="20"/>
              </w:rPr>
              <w:t>Π</w:t>
            </w:r>
            <w:r w:rsidR="00D50248" w:rsidRPr="000A023A">
              <w:rPr>
                <w:b/>
                <w:noProof/>
                <w:color w:val="7030A0"/>
                <w:sz w:val="20"/>
                <w:szCs w:val="20"/>
              </w:rPr>
              <w:t xml:space="preserve">υλώνες </w:t>
            </w:r>
            <w:r w:rsidR="000A023A">
              <w:rPr>
                <w:b/>
                <w:noProof/>
                <w:color w:val="7030A0"/>
                <w:sz w:val="20"/>
                <w:szCs w:val="20"/>
              </w:rPr>
              <w:t>Ανταγωνιστικότητας</w:t>
            </w:r>
            <w:r w:rsidR="00D50248" w:rsidRPr="000A023A">
              <w:rPr>
                <w:b/>
                <w:noProof/>
                <w:color w:val="7030A0"/>
                <w:sz w:val="20"/>
                <w:szCs w:val="20"/>
              </w:rPr>
              <w:t xml:space="preserve"> για Ελλάδα και Σουηδία </w:t>
            </w:r>
            <w:r w:rsidR="00D50248" w:rsidRPr="000A023A">
              <w:rPr>
                <w:color w:val="7030A0"/>
                <w:sz w:val="20"/>
                <w:szCs w:val="20"/>
              </w:rPr>
              <w:t>(</w:t>
            </w:r>
            <w:r w:rsidR="00D50248" w:rsidRPr="000A023A">
              <w:rPr>
                <w:color w:val="7030A0"/>
                <w:sz w:val="20"/>
                <w:szCs w:val="20"/>
                <w:lang w:val="en-US"/>
              </w:rPr>
              <w:t>WEF</w:t>
            </w:r>
            <w:r w:rsidR="00D50248" w:rsidRPr="000A023A">
              <w:rPr>
                <w:color w:val="7030A0"/>
                <w:sz w:val="20"/>
                <w:szCs w:val="20"/>
              </w:rPr>
              <w:t xml:space="preserve"> </w:t>
            </w:r>
            <w:hyperlink r:id="rId20" w:history="1">
              <w:r w:rsidR="00D50248" w:rsidRPr="000A023A">
                <w:rPr>
                  <w:rStyle w:val="-"/>
                  <w:color w:val="7030A0"/>
                  <w:sz w:val="20"/>
                  <w:szCs w:val="20"/>
                  <w:lang w:val="en-US"/>
                </w:rPr>
                <w:t>Global</w:t>
              </w:r>
              <w:r w:rsidR="00D50248" w:rsidRPr="000A023A">
                <w:rPr>
                  <w:rStyle w:val="-"/>
                  <w:color w:val="7030A0"/>
                  <w:sz w:val="20"/>
                  <w:szCs w:val="20"/>
                </w:rPr>
                <w:t xml:space="preserve"> </w:t>
              </w:r>
              <w:r w:rsidR="00D50248" w:rsidRPr="000A023A">
                <w:rPr>
                  <w:rStyle w:val="-"/>
                  <w:color w:val="7030A0"/>
                  <w:sz w:val="20"/>
                  <w:szCs w:val="20"/>
                  <w:lang w:val="en-US"/>
                </w:rPr>
                <w:t>Competitiveness</w:t>
              </w:r>
              <w:r w:rsidR="00D50248" w:rsidRPr="000A023A">
                <w:rPr>
                  <w:rStyle w:val="-"/>
                  <w:color w:val="7030A0"/>
                  <w:sz w:val="20"/>
                  <w:szCs w:val="20"/>
                </w:rPr>
                <w:t xml:space="preserve"> </w:t>
              </w:r>
              <w:r w:rsidR="00D50248" w:rsidRPr="000A023A">
                <w:rPr>
                  <w:rStyle w:val="-"/>
                  <w:color w:val="7030A0"/>
                  <w:sz w:val="20"/>
                  <w:szCs w:val="20"/>
                  <w:lang w:val="en-US"/>
                </w:rPr>
                <w:t>Index</w:t>
              </w:r>
            </w:hyperlink>
            <w:r w:rsidR="00D50248" w:rsidRPr="000A023A">
              <w:rPr>
                <w:color w:val="7030A0"/>
                <w:sz w:val="20"/>
                <w:szCs w:val="20"/>
              </w:rPr>
              <w:t>, 2016-2017. Υψηλότερος δείκτης = καλύτερη επίδοση)</w:t>
            </w:r>
          </w:p>
          <w:p w:rsidR="00D50248" w:rsidRPr="00B62670" w:rsidRDefault="00B62670" w:rsidP="00D50248">
            <w:pPr>
              <w:rPr>
                <w:b/>
                <w:color w:val="7030A0"/>
                <w:sz w:val="20"/>
                <w:szCs w:val="20"/>
              </w:rPr>
            </w:pPr>
            <w:r w:rsidRPr="00B62670">
              <w:rPr>
                <w:b/>
                <w:noProof/>
                <w:color w:val="7030A0"/>
                <w:sz w:val="20"/>
                <w:szCs w:val="20"/>
              </w:rPr>
              <w:drawing>
                <wp:inline distT="0" distB="0" distL="0" distR="0">
                  <wp:extent cx="3239261" cy="182226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8912"/>
                          <a:stretch/>
                        </pic:blipFill>
                        <pic:spPr bwMode="auto">
                          <a:xfrm>
                            <a:off x="0" y="0"/>
                            <a:ext cx="3240000" cy="1822678"/>
                          </a:xfrm>
                          <a:prstGeom prst="rect">
                            <a:avLst/>
                          </a:prstGeom>
                          <a:noFill/>
                          <a:ln>
                            <a:noFill/>
                          </a:ln>
                          <a:extLst>
                            <a:ext uri="{53640926-AAD7-44D8-BBD7-CCE9431645EC}">
                              <a14:shadowObscured xmlns:a14="http://schemas.microsoft.com/office/drawing/2010/main"/>
                            </a:ext>
                          </a:extLst>
                        </pic:spPr>
                      </pic:pic>
                    </a:graphicData>
                  </a:graphic>
                </wp:inline>
              </w:drawing>
            </w:r>
          </w:p>
          <w:p w:rsidR="00F25212" w:rsidRPr="008B63C1" w:rsidRDefault="00F25212" w:rsidP="00F25212">
            <w:pPr>
              <w:rPr>
                <w:b/>
                <w:color w:val="7030A0"/>
                <w:sz w:val="20"/>
                <w:szCs w:val="20"/>
                <w:u w:val="single"/>
              </w:rPr>
            </w:pPr>
            <w:r w:rsidRPr="00D469A7">
              <w:rPr>
                <w:b/>
                <w:color w:val="7030A0"/>
                <w:sz w:val="20"/>
                <w:szCs w:val="20"/>
                <w:u w:val="single"/>
              </w:rPr>
              <w:t xml:space="preserve">Διάγραμμα </w:t>
            </w:r>
            <w:r w:rsidR="00AB0970" w:rsidRPr="00AB0970">
              <w:rPr>
                <w:b/>
                <w:color w:val="7030A0"/>
                <w:sz w:val="20"/>
                <w:szCs w:val="20"/>
                <w:u w:val="single"/>
              </w:rPr>
              <w:t>4</w:t>
            </w:r>
            <w:r>
              <w:rPr>
                <w:b/>
                <w:color w:val="7030A0"/>
                <w:sz w:val="20"/>
                <w:szCs w:val="20"/>
                <w:u w:val="single"/>
              </w:rPr>
              <w:t>:</w:t>
            </w:r>
            <w:r>
              <w:rPr>
                <w:color w:val="7030A0"/>
                <w:sz w:val="20"/>
                <w:szCs w:val="20"/>
              </w:rPr>
              <w:t xml:space="preserve"> </w:t>
            </w:r>
            <w:r>
              <w:rPr>
                <w:b/>
                <w:color w:val="7030A0"/>
                <w:sz w:val="20"/>
                <w:szCs w:val="20"/>
              </w:rPr>
              <w:t xml:space="preserve">Ποσοστό μισθωτών που ανήκουν σε συνδικάτο </w:t>
            </w:r>
            <w:r w:rsidRPr="008B63C1">
              <w:rPr>
                <w:color w:val="7030A0"/>
                <w:sz w:val="20"/>
                <w:szCs w:val="20"/>
              </w:rPr>
              <w:t>(</w:t>
            </w:r>
            <w:hyperlink r:id="rId22" w:history="1">
              <w:r w:rsidRPr="00F25212">
                <w:rPr>
                  <w:rStyle w:val="-"/>
                  <w:sz w:val="20"/>
                  <w:szCs w:val="20"/>
                  <w:lang w:val="en-US"/>
                </w:rPr>
                <w:t>OO</w:t>
              </w:r>
              <w:r w:rsidRPr="00F25212">
                <w:rPr>
                  <w:rStyle w:val="-"/>
                  <w:sz w:val="20"/>
                  <w:szCs w:val="20"/>
                </w:rPr>
                <w:t>ΣΑ, 2013</w:t>
              </w:r>
            </w:hyperlink>
            <w:r w:rsidRPr="008B63C1">
              <w:rPr>
                <w:color w:val="7030A0"/>
                <w:sz w:val="20"/>
                <w:szCs w:val="20"/>
              </w:rPr>
              <w:t>)</w:t>
            </w:r>
          </w:p>
          <w:p w:rsidR="00967753" w:rsidRDefault="00F25212" w:rsidP="00AF19A2">
            <w:pPr>
              <w:rPr>
                <w:b/>
                <w:color w:val="7030A0"/>
                <w:sz w:val="20"/>
                <w:szCs w:val="20"/>
              </w:rPr>
            </w:pPr>
            <w:r>
              <w:rPr>
                <w:b/>
                <w:noProof/>
                <w:color w:val="7030A0"/>
                <w:sz w:val="20"/>
                <w:szCs w:val="20"/>
              </w:rPr>
              <w:lastRenderedPageBreak/>
              <w:drawing>
                <wp:inline distT="0" distB="0" distL="0" distR="0">
                  <wp:extent cx="3237711" cy="19240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2871"/>
                          <a:stretch/>
                        </pic:blipFill>
                        <pic:spPr bwMode="auto">
                          <a:xfrm>
                            <a:off x="0" y="0"/>
                            <a:ext cx="3245240" cy="1928524"/>
                          </a:xfrm>
                          <a:prstGeom prst="rect">
                            <a:avLst/>
                          </a:prstGeom>
                          <a:noFill/>
                          <a:ln>
                            <a:noFill/>
                          </a:ln>
                          <a:extLst>
                            <a:ext uri="{53640926-AAD7-44D8-BBD7-CCE9431645EC}">
                              <a14:shadowObscured xmlns:a14="http://schemas.microsoft.com/office/drawing/2010/main"/>
                            </a:ext>
                          </a:extLst>
                        </pic:spPr>
                      </pic:pic>
                    </a:graphicData>
                  </a:graphic>
                </wp:inline>
              </w:drawing>
            </w:r>
          </w:p>
          <w:p w:rsidR="004A0776" w:rsidRDefault="004A0776" w:rsidP="00D50248">
            <w:pPr>
              <w:rPr>
                <w:b/>
                <w:color w:val="7030A0"/>
                <w:sz w:val="20"/>
                <w:szCs w:val="20"/>
                <w:u w:val="single"/>
              </w:rPr>
            </w:pPr>
          </w:p>
          <w:p w:rsidR="00FD24CE" w:rsidRDefault="00FD24CE" w:rsidP="00D50248">
            <w:pPr>
              <w:rPr>
                <w:b/>
                <w:color w:val="7030A0"/>
                <w:sz w:val="20"/>
                <w:szCs w:val="20"/>
                <w:u w:val="single"/>
              </w:rPr>
            </w:pPr>
          </w:p>
          <w:p w:rsidR="00FD24CE" w:rsidRDefault="00FD24CE" w:rsidP="00D50248">
            <w:pPr>
              <w:rPr>
                <w:b/>
                <w:color w:val="7030A0"/>
                <w:sz w:val="20"/>
                <w:szCs w:val="20"/>
                <w:u w:val="single"/>
              </w:rPr>
            </w:pPr>
          </w:p>
          <w:p w:rsidR="00FD24CE" w:rsidRDefault="00FD24CE" w:rsidP="00D50248">
            <w:pPr>
              <w:rPr>
                <w:b/>
                <w:color w:val="7030A0"/>
                <w:sz w:val="20"/>
                <w:szCs w:val="20"/>
                <w:u w:val="single"/>
              </w:rPr>
            </w:pPr>
          </w:p>
          <w:p w:rsidR="00D50248" w:rsidRPr="008B63C1" w:rsidRDefault="00D50248" w:rsidP="00D50248">
            <w:pPr>
              <w:rPr>
                <w:b/>
                <w:color w:val="7030A0"/>
                <w:sz w:val="20"/>
                <w:szCs w:val="20"/>
                <w:u w:val="single"/>
              </w:rPr>
            </w:pPr>
            <w:r w:rsidRPr="00D469A7">
              <w:rPr>
                <w:b/>
                <w:color w:val="7030A0"/>
                <w:sz w:val="20"/>
                <w:szCs w:val="20"/>
                <w:u w:val="single"/>
              </w:rPr>
              <w:t xml:space="preserve">Διάγραμμα </w:t>
            </w:r>
            <w:r w:rsidR="00AB0970" w:rsidRPr="00AB0970">
              <w:rPr>
                <w:b/>
                <w:color w:val="7030A0"/>
                <w:sz w:val="20"/>
                <w:szCs w:val="20"/>
                <w:u w:val="single"/>
              </w:rPr>
              <w:t>5</w:t>
            </w:r>
            <w:r>
              <w:rPr>
                <w:b/>
                <w:color w:val="7030A0"/>
                <w:sz w:val="20"/>
                <w:szCs w:val="20"/>
                <w:u w:val="single"/>
              </w:rPr>
              <w:t>:</w:t>
            </w:r>
            <w:r>
              <w:rPr>
                <w:color w:val="7030A0"/>
                <w:sz w:val="20"/>
                <w:szCs w:val="20"/>
              </w:rPr>
              <w:t xml:space="preserve"> </w:t>
            </w:r>
            <w:r>
              <w:rPr>
                <w:b/>
                <w:color w:val="7030A0"/>
                <w:sz w:val="20"/>
                <w:szCs w:val="20"/>
              </w:rPr>
              <w:t xml:space="preserve">Κάλυψη από συλλογικές συμβάσεις και επέκταση </w:t>
            </w:r>
            <w:r w:rsidRPr="008B63C1">
              <w:rPr>
                <w:color w:val="7030A0"/>
                <w:sz w:val="20"/>
                <w:szCs w:val="20"/>
              </w:rPr>
              <w:t>(</w:t>
            </w:r>
            <w:r>
              <w:rPr>
                <w:color w:val="7030A0"/>
                <w:sz w:val="20"/>
                <w:szCs w:val="20"/>
              </w:rPr>
              <w:t xml:space="preserve">Υπουργείο Εργασίας, </w:t>
            </w:r>
            <w:hyperlink r:id="rId24" w:history="1">
              <w:r w:rsidRPr="00D50248">
                <w:rPr>
                  <w:rStyle w:val="-"/>
                  <w:sz w:val="20"/>
                  <w:szCs w:val="20"/>
                </w:rPr>
                <w:t>Έκθ</w:t>
              </w:r>
              <w:r>
                <w:rPr>
                  <w:rStyle w:val="-"/>
                  <w:sz w:val="20"/>
                  <w:szCs w:val="20"/>
                </w:rPr>
                <w:t>ε</w:t>
              </w:r>
              <w:r w:rsidRPr="00D50248">
                <w:rPr>
                  <w:rStyle w:val="-"/>
                  <w:sz w:val="20"/>
                  <w:szCs w:val="20"/>
                </w:rPr>
                <w:t>ση Επιτροπής Εμπειρογνωμόνων για τη μεταρρύθμιση των εργασιακών σχέσεων</w:t>
              </w:r>
            </w:hyperlink>
            <w:r>
              <w:rPr>
                <w:color w:val="7030A0"/>
                <w:sz w:val="20"/>
                <w:szCs w:val="20"/>
              </w:rPr>
              <w:t xml:space="preserve">, Σεπ. 2016 </w:t>
            </w:r>
            <w:r w:rsidRPr="008B63C1">
              <w:rPr>
                <w:color w:val="7030A0"/>
                <w:sz w:val="20"/>
                <w:szCs w:val="20"/>
              </w:rPr>
              <w:t>)</w:t>
            </w:r>
          </w:p>
          <w:p w:rsidR="00D50248" w:rsidRPr="00D50248" w:rsidRDefault="00921494" w:rsidP="00D50248">
            <w:pPr>
              <w:rPr>
                <w:color w:val="7030A0"/>
                <w:sz w:val="20"/>
                <w:szCs w:val="20"/>
              </w:rPr>
            </w:pPr>
            <w:r>
              <w:rPr>
                <w:noProof/>
                <w:color w:val="7030A0"/>
                <w:sz w:val="20"/>
                <w:szCs w:val="20"/>
              </w:rPr>
              <w:drawing>
                <wp:inline distT="0" distB="0" distL="0" distR="0">
                  <wp:extent cx="3238500" cy="2009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b="18077"/>
                          <a:stretch/>
                        </pic:blipFill>
                        <pic:spPr bwMode="auto">
                          <a:xfrm>
                            <a:off x="0" y="0"/>
                            <a:ext cx="3240861" cy="2011240"/>
                          </a:xfrm>
                          <a:prstGeom prst="rect">
                            <a:avLst/>
                          </a:prstGeom>
                          <a:noFill/>
                          <a:ln>
                            <a:noFill/>
                          </a:ln>
                          <a:extLst>
                            <a:ext uri="{53640926-AAD7-44D8-BBD7-CCE9431645EC}">
                              <a14:shadowObscured xmlns:a14="http://schemas.microsoft.com/office/drawing/2010/main"/>
                            </a:ext>
                          </a:extLst>
                        </pic:spPr>
                      </pic:pic>
                    </a:graphicData>
                  </a:graphic>
                </wp:inline>
              </w:drawing>
            </w:r>
          </w:p>
          <w:p w:rsidR="004A0776" w:rsidRDefault="004A0776" w:rsidP="001E49F6">
            <w:pPr>
              <w:rPr>
                <w:b/>
                <w:color w:val="7030A0"/>
                <w:sz w:val="20"/>
                <w:szCs w:val="20"/>
                <w:u w:val="single"/>
              </w:rPr>
            </w:pPr>
          </w:p>
          <w:p w:rsidR="004A0776" w:rsidRDefault="004A0776" w:rsidP="001E49F6">
            <w:pPr>
              <w:rPr>
                <w:b/>
                <w:color w:val="7030A0"/>
                <w:sz w:val="20"/>
                <w:szCs w:val="20"/>
                <w:u w:val="single"/>
              </w:rPr>
            </w:pPr>
          </w:p>
          <w:p w:rsidR="00FD24CE" w:rsidRDefault="00FD24CE" w:rsidP="001E49F6">
            <w:pPr>
              <w:rPr>
                <w:b/>
                <w:color w:val="7030A0"/>
                <w:sz w:val="20"/>
                <w:szCs w:val="20"/>
                <w:u w:val="single"/>
              </w:rPr>
            </w:pPr>
          </w:p>
          <w:p w:rsidR="00FD24CE" w:rsidRDefault="00FD24CE" w:rsidP="001E49F6">
            <w:pPr>
              <w:rPr>
                <w:b/>
                <w:color w:val="7030A0"/>
                <w:sz w:val="20"/>
                <w:szCs w:val="20"/>
                <w:u w:val="single"/>
              </w:rPr>
            </w:pPr>
          </w:p>
          <w:p w:rsidR="00FD24CE" w:rsidRDefault="00FD24CE" w:rsidP="001E49F6">
            <w:pPr>
              <w:rPr>
                <w:b/>
                <w:color w:val="7030A0"/>
                <w:sz w:val="20"/>
                <w:szCs w:val="20"/>
                <w:u w:val="single"/>
              </w:rPr>
            </w:pPr>
          </w:p>
          <w:p w:rsidR="008B63C1" w:rsidRPr="008B63C1" w:rsidRDefault="008B63C1" w:rsidP="001E49F6">
            <w:pPr>
              <w:rPr>
                <w:b/>
                <w:color w:val="7030A0"/>
                <w:sz w:val="20"/>
                <w:szCs w:val="20"/>
                <w:u w:val="single"/>
              </w:rPr>
            </w:pPr>
            <w:r w:rsidRPr="00D469A7">
              <w:rPr>
                <w:b/>
                <w:color w:val="7030A0"/>
                <w:sz w:val="20"/>
                <w:szCs w:val="20"/>
                <w:u w:val="single"/>
              </w:rPr>
              <w:t xml:space="preserve">Διάγραμμα </w:t>
            </w:r>
            <w:r w:rsidR="00AB0970" w:rsidRPr="00AB0970">
              <w:rPr>
                <w:b/>
                <w:color w:val="7030A0"/>
                <w:sz w:val="20"/>
                <w:szCs w:val="20"/>
                <w:u w:val="single"/>
              </w:rPr>
              <w:t>6</w:t>
            </w:r>
            <w:r>
              <w:rPr>
                <w:b/>
                <w:color w:val="7030A0"/>
                <w:sz w:val="20"/>
                <w:szCs w:val="20"/>
                <w:u w:val="single"/>
              </w:rPr>
              <w:t>:</w:t>
            </w:r>
            <w:r>
              <w:rPr>
                <w:color w:val="7030A0"/>
                <w:sz w:val="20"/>
                <w:szCs w:val="20"/>
              </w:rPr>
              <w:t xml:space="preserve"> </w:t>
            </w:r>
            <w:r>
              <w:rPr>
                <w:b/>
                <w:color w:val="7030A0"/>
                <w:sz w:val="20"/>
                <w:szCs w:val="20"/>
              </w:rPr>
              <w:t xml:space="preserve">Ετήσια αμοιβή μισθωτού (με όλες τις εισφορές και αξία ασφαλιστικών δικαιωμάτων) και ποσοστό απασχόλησης </w:t>
            </w:r>
            <w:r w:rsidR="00E76A56">
              <w:rPr>
                <w:b/>
                <w:color w:val="7030A0"/>
                <w:sz w:val="20"/>
                <w:szCs w:val="20"/>
              </w:rPr>
              <w:t>πληθυσμού</w:t>
            </w:r>
            <w:r>
              <w:rPr>
                <w:b/>
                <w:color w:val="7030A0"/>
                <w:sz w:val="20"/>
                <w:szCs w:val="20"/>
              </w:rPr>
              <w:t xml:space="preserve"> </w:t>
            </w:r>
            <w:r w:rsidRPr="008B63C1">
              <w:rPr>
                <w:color w:val="7030A0"/>
                <w:sz w:val="20"/>
                <w:szCs w:val="20"/>
              </w:rPr>
              <w:t>(</w:t>
            </w:r>
            <w:r w:rsidRPr="008B63C1">
              <w:rPr>
                <w:color w:val="7030A0"/>
                <w:sz w:val="20"/>
                <w:szCs w:val="20"/>
                <w:lang w:val="en-US"/>
              </w:rPr>
              <w:t>AMECO</w:t>
            </w:r>
            <w:r w:rsidRPr="008B63C1">
              <w:rPr>
                <w:color w:val="7030A0"/>
                <w:sz w:val="20"/>
                <w:szCs w:val="20"/>
              </w:rPr>
              <w:t>, 2015)</w:t>
            </w:r>
          </w:p>
          <w:p w:rsidR="008B63C1" w:rsidRPr="00DA45E2" w:rsidRDefault="008B63C1" w:rsidP="001E49F6">
            <w:pPr>
              <w:rPr>
                <w:b/>
                <w:color w:val="7030A0"/>
                <w:sz w:val="20"/>
                <w:szCs w:val="20"/>
              </w:rPr>
            </w:pPr>
            <w:r w:rsidRPr="00DA45E2">
              <w:rPr>
                <w:b/>
                <w:noProof/>
                <w:color w:val="7030A0"/>
                <w:sz w:val="20"/>
                <w:szCs w:val="20"/>
              </w:rPr>
              <w:drawing>
                <wp:inline distT="0" distB="0" distL="0" distR="0">
                  <wp:extent cx="3238992" cy="18154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2315" b="4439"/>
                          <a:stretch/>
                        </pic:blipFill>
                        <pic:spPr bwMode="auto">
                          <a:xfrm>
                            <a:off x="0" y="0"/>
                            <a:ext cx="3240000" cy="1816039"/>
                          </a:xfrm>
                          <a:prstGeom prst="rect">
                            <a:avLst/>
                          </a:prstGeom>
                          <a:noFill/>
                          <a:ln>
                            <a:noFill/>
                          </a:ln>
                          <a:extLst>
                            <a:ext uri="{53640926-AAD7-44D8-BBD7-CCE9431645EC}">
                              <a14:shadowObscured xmlns:a14="http://schemas.microsoft.com/office/drawing/2010/main"/>
                            </a:ext>
                          </a:extLst>
                        </pic:spPr>
                      </pic:pic>
                    </a:graphicData>
                  </a:graphic>
                </wp:inline>
              </w:drawing>
            </w:r>
          </w:p>
          <w:p w:rsidR="00B60C09" w:rsidRDefault="00B60C09" w:rsidP="00E172AB">
            <w:pPr>
              <w:rPr>
                <w:b/>
                <w:color w:val="7030A0"/>
                <w:sz w:val="20"/>
                <w:szCs w:val="20"/>
                <w:u w:val="single"/>
              </w:rPr>
            </w:pPr>
          </w:p>
          <w:p w:rsidR="00B60C09" w:rsidRDefault="00B60C09" w:rsidP="00E172AB">
            <w:pPr>
              <w:rPr>
                <w:b/>
                <w:color w:val="7030A0"/>
                <w:sz w:val="20"/>
                <w:szCs w:val="20"/>
                <w:u w:val="single"/>
              </w:rPr>
            </w:pPr>
          </w:p>
          <w:p w:rsidR="00B97485" w:rsidRPr="00B60C09" w:rsidRDefault="00B60C09" w:rsidP="00E172AB">
            <w:pPr>
              <w:rPr>
                <w:b/>
                <w:color w:val="7030A0"/>
                <w:sz w:val="20"/>
                <w:szCs w:val="20"/>
              </w:rPr>
            </w:pPr>
            <w:r>
              <w:rPr>
                <w:b/>
                <w:color w:val="7030A0"/>
                <w:sz w:val="20"/>
                <w:szCs w:val="20"/>
                <w:u w:val="single"/>
              </w:rPr>
              <w:t>Πίνακας 1:</w:t>
            </w:r>
            <w:r w:rsidRPr="00B60C09">
              <w:rPr>
                <w:b/>
                <w:color w:val="7030A0"/>
                <w:sz w:val="20"/>
                <w:szCs w:val="20"/>
              </w:rPr>
              <w:t xml:space="preserve"> Δημοσιονομικές παρεμβάσεις 2016 – 2017</w:t>
            </w:r>
          </w:p>
          <w:p w:rsidR="00B60C09" w:rsidRPr="00B60C09" w:rsidRDefault="00B60C09" w:rsidP="00E172AB">
            <w:pPr>
              <w:rPr>
                <w:color w:val="7030A0"/>
                <w:sz w:val="20"/>
                <w:szCs w:val="20"/>
                <w:u w:val="single"/>
              </w:rPr>
            </w:pPr>
            <w:r w:rsidRPr="00B60C09">
              <w:rPr>
                <w:color w:val="7030A0"/>
                <w:sz w:val="20"/>
                <w:szCs w:val="20"/>
              </w:rPr>
              <w:t xml:space="preserve">(Υπ. Οικονομικών, </w:t>
            </w:r>
            <w:hyperlink r:id="rId27" w:history="1">
              <w:r w:rsidRPr="003D1569">
                <w:rPr>
                  <w:rStyle w:val="-"/>
                  <w:sz w:val="20"/>
                  <w:szCs w:val="20"/>
                </w:rPr>
                <w:t xml:space="preserve">Προσχέδιο Κρατικού </w:t>
              </w:r>
              <w:r w:rsidR="003D1569">
                <w:rPr>
                  <w:rStyle w:val="-"/>
                  <w:sz w:val="20"/>
                  <w:szCs w:val="20"/>
                </w:rPr>
                <w:t>Π</w:t>
              </w:r>
              <w:r w:rsidRPr="003D1569">
                <w:rPr>
                  <w:rStyle w:val="-"/>
                  <w:sz w:val="20"/>
                  <w:szCs w:val="20"/>
                </w:rPr>
                <w:t>ροϋπολογισμού</w:t>
              </w:r>
            </w:hyperlink>
            <w:r w:rsidRPr="00B60C09">
              <w:rPr>
                <w:color w:val="7030A0"/>
                <w:sz w:val="20"/>
                <w:szCs w:val="20"/>
              </w:rPr>
              <w:t xml:space="preserve">, </w:t>
            </w:r>
            <w:r w:rsidRPr="00B60C09">
              <w:rPr>
                <w:color w:val="7030A0"/>
                <w:sz w:val="20"/>
                <w:szCs w:val="20"/>
              </w:rPr>
              <w:lastRenderedPageBreak/>
              <w:t>Οκτ. 2016)</w:t>
            </w:r>
          </w:p>
          <w:tbl>
            <w:tblPr>
              <w:tblStyle w:val="ListTable4Accent1"/>
              <w:tblW w:w="512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4A0" w:firstRow="1" w:lastRow="0" w:firstColumn="1" w:lastColumn="0" w:noHBand="0" w:noVBand="1"/>
            </w:tblPr>
            <w:tblGrid>
              <w:gridCol w:w="2719"/>
              <w:gridCol w:w="708"/>
              <w:gridCol w:w="709"/>
              <w:gridCol w:w="992"/>
            </w:tblGrid>
            <w:tr w:rsidR="00B60C09" w:rsidRPr="00B60C09" w:rsidTr="00B60C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365F91" w:themeFill="accent1" w:themeFillShade="BF"/>
                  <w:vAlign w:val="center"/>
                  <w:hideMark/>
                </w:tcPr>
                <w:p w:rsidR="00B60C09" w:rsidRPr="005C76FD" w:rsidRDefault="00B60C09" w:rsidP="00B60C09">
                  <w:pPr>
                    <w:jc w:val="center"/>
                    <w:rPr>
                      <w:rFonts w:eastAsia="Times New Roman" w:cs="Times New Roman"/>
                      <w:sz w:val="15"/>
                      <w:szCs w:val="15"/>
                    </w:rPr>
                  </w:pPr>
                </w:p>
              </w:tc>
              <w:tc>
                <w:tcPr>
                  <w:tcW w:w="708" w:type="dxa"/>
                  <w:shd w:val="clear" w:color="auto" w:fill="365F91" w:themeFill="accent1" w:themeFillShade="BF"/>
                  <w:vAlign w:val="center"/>
                  <w:hideMark/>
                </w:tcPr>
                <w:p w:rsidR="00B60C09" w:rsidRPr="005C76FD" w:rsidRDefault="00B60C09" w:rsidP="00B60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5C76FD">
                    <w:rPr>
                      <w:rFonts w:eastAsia="Times New Roman" w:cs="Times New Roman"/>
                      <w:sz w:val="18"/>
                      <w:szCs w:val="18"/>
                    </w:rPr>
                    <w:t>2016</w:t>
                  </w:r>
                </w:p>
              </w:tc>
              <w:tc>
                <w:tcPr>
                  <w:tcW w:w="709" w:type="dxa"/>
                  <w:shd w:val="clear" w:color="auto" w:fill="365F91" w:themeFill="accent1" w:themeFillShade="BF"/>
                  <w:vAlign w:val="center"/>
                  <w:hideMark/>
                </w:tcPr>
                <w:p w:rsidR="00B60C09" w:rsidRPr="005C76FD" w:rsidRDefault="00BC4EC3" w:rsidP="00B60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2016-</w:t>
                  </w:r>
                  <w:r w:rsidR="00B60C09" w:rsidRPr="005C76FD">
                    <w:rPr>
                      <w:rFonts w:eastAsia="Times New Roman" w:cs="Times New Roman"/>
                      <w:sz w:val="18"/>
                      <w:szCs w:val="18"/>
                    </w:rPr>
                    <w:t>2017</w:t>
                  </w:r>
                </w:p>
              </w:tc>
              <w:tc>
                <w:tcPr>
                  <w:tcW w:w="992" w:type="dxa"/>
                  <w:shd w:val="clear" w:color="auto" w:fill="365F91" w:themeFill="accent1" w:themeFillShade="BF"/>
                  <w:vAlign w:val="center"/>
                  <w:hideMark/>
                </w:tcPr>
                <w:p w:rsidR="00B60C09" w:rsidRPr="00B60C09" w:rsidRDefault="00B60C09" w:rsidP="00B60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5C76FD">
                    <w:rPr>
                      <w:rFonts w:eastAsia="Times New Roman" w:cs="Times New Roman"/>
                      <w:sz w:val="18"/>
                      <w:szCs w:val="18"/>
                    </w:rPr>
                    <w:t>Δ</w:t>
                  </w:r>
                </w:p>
                <w:p w:rsidR="00B60C09" w:rsidRPr="005C76FD" w:rsidRDefault="00B60C09" w:rsidP="00B60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5"/>
                      <w:szCs w:val="15"/>
                    </w:rPr>
                  </w:pPr>
                  <w:r w:rsidRPr="00B60C09">
                    <w:rPr>
                      <w:rFonts w:eastAsia="Times New Roman" w:cs="Times New Roman"/>
                      <w:sz w:val="15"/>
                      <w:szCs w:val="15"/>
                    </w:rPr>
                    <w:t>(επίπτωση 2017)</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BFBFBF" w:themeFill="background1" w:themeFillShade="BF"/>
                  <w:vAlign w:val="center"/>
                  <w:hideMark/>
                </w:tcPr>
                <w:p w:rsidR="00B60C09" w:rsidRPr="005C76FD" w:rsidRDefault="00B60C09" w:rsidP="00B60C09">
                  <w:pPr>
                    <w:rPr>
                      <w:rFonts w:eastAsia="Times New Roman" w:cs="Times New Roman"/>
                      <w:color w:val="1F497D" w:themeColor="text2"/>
                      <w:sz w:val="15"/>
                      <w:szCs w:val="15"/>
                    </w:rPr>
                  </w:pPr>
                  <w:r w:rsidRPr="005C76FD">
                    <w:rPr>
                      <w:rFonts w:eastAsia="Times New Roman" w:cs="Times New Roman"/>
                      <w:color w:val="1F497D" w:themeColor="text2"/>
                      <w:sz w:val="15"/>
                      <w:szCs w:val="15"/>
                    </w:rPr>
                    <w:t>Περικοπές Δαπανών</w:t>
                  </w:r>
                </w:p>
              </w:tc>
              <w:tc>
                <w:tcPr>
                  <w:tcW w:w="708" w:type="dxa"/>
                  <w:shd w:val="clear" w:color="auto" w:fill="BFBFBF" w:themeFill="background1" w:themeFillShade="BF"/>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795,4</w:t>
                  </w:r>
                </w:p>
              </w:tc>
              <w:tc>
                <w:tcPr>
                  <w:tcW w:w="709" w:type="dxa"/>
                  <w:shd w:val="clear" w:color="auto" w:fill="BFBFBF" w:themeFill="background1" w:themeFillShade="BF"/>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874,2</w:t>
                  </w:r>
                </w:p>
              </w:tc>
              <w:tc>
                <w:tcPr>
                  <w:tcW w:w="992" w:type="dxa"/>
                  <w:shd w:val="clear" w:color="auto" w:fill="BFBFBF" w:themeFill="background1" w:themeFillShade="BF"/>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78,8</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firstLine="183"/>
                    <w:rPr>
                      <w:rFonts w:eastAsia="Times New Roman" w:cs="Times New Roman"/>
                      <w:color w:val="1F497D" w:themeColor="text2"/>
                      <w:sz w:val="15"/>
                      <w:szCs w:val="15"/>
                    </w:rPr>
                  </w:pPr>
                  <w:r w:rsidRPr="005C76FD">
                    <w:rPr>
                      <w:rFonts w:eastAsia="Times New Roman" w:cs="Times New Roman"/>
                      <w:color w:val="1F497D" w:themeColor="text2"/>
                      <w:sz w:val="15"/>
                      <w:szCs w:val="15"/>
                    </w:rPr>
                    <w:t>Μισθοί</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0,6</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91,9</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91,3</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firstLine="183"/>
                    <w:rPr>
                      <w:rFonts w:eastAsia="Times New Roman" w:cs="Times New Roman"/>
                      <w:color w:val="1F497D" w:themeColor="text2"/>
                      <w:sz w:val="15"/>
                      <w:szCs w:val="15"/>
                    </w:rPr>
                  </w:pPr>
                  <w:r w:rsidRPr="005C76FD">
                    <w:rPr>
                      <w:rFonts w:eastAsia="Times New Roman" w:cs="Times New Roman"/>
                      <w:color w:val="1F497D" w:themeColor="text2"/>
                      <w:sz w:val="15"/>
                      <w:szCs w:val="15"/>
                    </w:rPr>
                    <w:t>Συντάξεις</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274,4</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600,4</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326</w:t>
                  </w:r>
                  <w:r w:rsidRPr="00B60C09">
                    <w:rPr>
                      <w:rFonts w:eastAsia="Times New Roman" w:cs="Times New Roman"/>
                      <w:b/>
                      <w:color w:val="1F497D" w:themeColor="text2"/>
                      <w:sz w:val="15"/>
                      <w:szCs w:val="15"/>
                    </w:rPr>
                    <w:t>,0</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firstLine="183"/>
                    <w:rPr>
                      <w:rFonts w:eastAsia="Times New Roman" w:cs="Times New Roman"/>
                      <w:color w:val="1F497D" w:themeColor="text2"/>
                      <w:sz w:val="15"/>
                      <w:szCs w:val="15"/>
                    </w:rPr>
                  </w:pPr>
                  <w:r w:rsidRPr="005C76FD">
                    <w:rPr>
                      <w:rFonts w:eastAsia="Times New Roman" w:cs="Times New Roman"/>
                      <w:color w:val="1F497D" w:themeColor="text2"/>
                      <w:sz w:val="15"/>
                      <w:szCs w:val="15"/>
                    </w:rPr>
                    <w:t>Κοινωνική Ασφάλιση και Πρόνοια</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493,3</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947,3</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454</w:t>
                  </w:r>
                  <w:r w:rsidRPr="00B60C09">
                    <w:rPr>
                      <w:rFonts w:eastAsia="Times New Roman" w:cs="Times New Roman"/>
                      <w:b/>
                      <w:color w:val="1F497D" w:themeColor="text2"/>
                      <w:sz w:val="15"/>
                      <w:szCs w:val="15"/>
                    </w:rPr>
                    <w:t>,0</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firstLine="183"/>
                    <w:rPr>
                      <w:rFonts w:eastAsia="Times New Roman" w:cs="Times New Roman"/>
                      <w:color w:val="1F497D" w:themeColor="text2"/>
                      <w:sz w:val="15"/>
                      <w:szCs w:val="15"/>
                    </w:rPr>
                  </w:pPr>
                  <w:r w:rsidRPr="005C76FD">
                    <w:rPr>
                      <w:rFonts w:eastAsia="Times New Roman" w:cs="Times New Roman"/>
                      <w:color w:val="1F497D" w:themeColor="text2"/>
                      <w:sz w:val="15"/>
                      <w:szCs w:val="15"/>
                    </w:rPr>
                    <w:t>Κοινωνικά Επιδόματα</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-871</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-871</w:t>
                  </w:r>
                  <w:r w:rsidRPr="00B60C09">
                    <w:rPr>
                      <w:rFonts w:eastAsia="Times New Roman" w:cs="Times New Roman"/>
                      <w:b/>
                      <w:color w:val="1F497D" w:themeColor="text2"/>
                      <w:sz w:val="15"/>
                      <w:szCs w:val="15"/>
                    </w:rPr>
                    <w:t>,0</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tcPr>
                <w:p w:rsidR="00B60C09" w:rsidRPr="00B60C09" w:rsidRDefault="00B60C09" w:rsidP="00B60C09">
                  <w:pPr>
                    <w:ind w:left="449"/>
                    <w:rPr>
                      <w:rFonts w:eastAsia="Times New Roman" w:cs="Times New Roman"/>
                      <w:color w:val="1F497D" w:themeColor="text2"/>
                      <w:sz w:val="15"/>
                      <w:szCs w:val="15"/>
                    </w:rPr>
                  </w:pPr>
                  <w:r w:rsidRPr="00B60C09">
                    <w:rPr>
                      <w:rFonts w:eastAsia="Times New Roman" w:cs="Times New Roman"/>
                      <w:color w:val="1F497D" w:themeColor="text2"/>
                      <w:sz w:val="15"/>
                      <w:szCs w:val="15"/>
                    </w:rPr>
                    <w:t>Εισόδημα κοινωνικής αλληλεγγύης</w:t>
                  </w:r>
                </w:p>
              </w:tc>
              <w:tc>
                <w:tcPr>
                  <w:tcW w:w="708" w:type="dxa"/>
                  <w:shd w:val="clear" w:color="auto" w:fill="auto"/>
                  <w:vAlign w:val="center"/>
                </w:tcPr>
                <w:p w:rsidR="00B60C09" w:rsidRPr="00B60C09"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p>
              </w:tc>
              <w:tc>
                <w:tcPr>
                  <w:tcW w:w="709" w:type="dxa"/>
                  <w:shd w:val="clear" w:color="auto" w:fill="auto"/>
                  <w:vAlign w:val="center"/>
                </w:tcPr>
                <w:p w:rsidR="00B60C09" w:rsidRPr="00B60C09"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-571,0</w:t>
                  </w:r>
                </w:p>
              </w:tc>
              <w:tc>
                <w:tcPr>
                  <w:tcW w:w="992" w:type="dxa"/>
                  <w:shd w:val="clear" w:color="auto" w:fill="auto"/>
                  <w:vAlign w:val="center"/>
                </w:tcPr>
                <w:p w:rsidR="00B60C09" w:rsidRPr="00B60C09"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-571,0</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tcPr>
                <w:p w:rsidR="00B60C09" w:rsidRPr="00B60C09" w:rsidRDefault="00B60C09" w:rsidP="00B60C09">
                  <w:pPr>
                    <w:ind w:left="449"/>
                    <w:rPr>
                      <w:rFonts w:eastAsia="Times New Roman" w:cs="Times New Roman"/>
                      <w:color w:val="1F497D" w:themeColor="text2"/>
                      <w:sz w:val="15"/>
                      <w:szCs w:val="15"/>
                    </w:rPr>
                  </w:pPr>
                  <w:r w:rsidRPr="00B60C09">
                    <w:rPr>
                      <w:rFonts w:eastAsia="Times New Roman" w:cs="Times New Roman"/>
                      <w:color w:val="1F497D" w:themeColor="text2"/>
                      <w:sz w:val="15"/>
                      <w:szCs w:val="15"/>
                    </w:rPr>
                    <w:t>Παρεμβάσεις στους τομείς της υγείας, της κοιν. προστασίας &amp; της παιδείας</w:t>
                  </w:r>
                </w:p>
              </w:tc>
              <w:tc>
                <w:tcPr>
                  <w:tcW w:w="708" w:type="dxa"/>
                  <w:shd w:val="clear" w:color="auto" w:fill="auto"/>
                  <w:vAlign w:val="center"/>
                </w:tcPr>
                <w:p w:rsidR="00B60C09" w:rsidRPr="00B60C09"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p>
              </w:tc>
              <w:tc>
                <w:tcPr>
                  <w:tcW w:w="709" w:type="dxa"/>
                  <w:shd w:val="clear" w:color="auto" w:fill="auto"/>
                  <w:vAlign w:val="center"/>
                </w:tcPr>
                <w:p w:rsidR="00B60C09" w:rsidRPr="00B60C09"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-300,0</w:t>
                  </w:r>
                </w:p>
              </w:tc>
              <w:tc>
                <w:tcPr>
                  <w:tcW w:w="992" w:type="dxa"/>
                  <w:shd w:val="clear" w:color="auto" w:fill="auto"/>
                  <w:vAlign w:val="center"/>
                </w:tcPr>
                <w:p w:rsidR="00B60C09" w:rsidRPr="00B60C09"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-300,0</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firstLine="183"/>
                    <w:rPr>
                      <w:rFonts w:eastAsia="Times New Roman" w:cs="Times New Roman"/>
                      <w:color w:val="1F497D" w:themeColor="text2"/>
                      <w:sz w:val="15"/>
                      <w:szCs w:val="15"/>
                    </w:rPr>
                  </w:pPr>
                  <w:r w:rsidRPr="005C76FD">
                    <w:rPr>
                      <w:rFonts w:eastAsia="Times New Roman" w:cs="Times New Roman"/>
                      <w:color w:val="1F497D" w:themeColor="text2"/>
                      <w:sz w:val="15"/>
                      <w:szCs w:val="15"/>
                    </w:rPr>
                    <w:t>Διάφορα</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27,1</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105,6</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78,5</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449"/>
                    <w:rPr>
                      <w:rFonts w:eastAsia="Times New Roman" w:cs="Times New Roman"/>
                      <w:color w:val="1F497D" w:themeColor="text2"/>
                      <w:sz w:val="15"/>
                      <w:szCs w:val="15"/>
                    </w:rPr>
                  </w:pPr>
                  <w:r w:rsidRPr="005C76FD">
                    <w:rPr>
                      <w:rFonts w:eastAsia="Times New Roman" w:cs="Times New Roman"/>
                      <w:color w:val="1F497D" w:themeColor="text2"/>
                      <w:sz w:val="15"/>
                      <w:szCs w:val="15"/>
                    </w:rPr>
                    <w:t>(ΥΠΕΘΑ)</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27,1</w:t>
                  </w:r>
                  <w:r w:rsidRPr="00B60C09">
                    <w:rPr>
                      <w:rFonts w:eastAsia="Times New Roman" w:cs="Times New Roman"/>
                      <w:b/>
                      <w:color w:val="1F497D" w:themeColor="text2"/>
                      <w:sz w:val="15"/>
                      <w:szCs w:val="15"/>
                    </w:rPr>
                    <w:t>)</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93,1</w:t>
                  </w:r>
                  <w:r w:rsidRPr="00B60C09">
                    <w:rPr>
                      <w:rFonts w:eastAsia="Times New Roman" w:cs="Times New Roman"/>
                      <w:b/>
                      <w:color w:val="1F497D" w:themeColor="text2"/>
                      <w:sz w:val="15"/>
                      <w:szCs w:val="15"/>
                    </w:rPr>
                    <w:t>)</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66</w:t>
                  </w:r>
                  <w:r w:rsidRPr="00B60C09">
                    <w:rPr>
                      <w:rFonts w:eastAsia="Times New Roman" w:cs="Times New Roman"/>
                      <w:b/>
                      <w:color w:val="1F497D" w:themeColor="text2"/>
                      <w:sz w:val="15"/>
                      <w:szCs w:val="15"/>
                    </w:rPr>
                    <w:t>,0)</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449"/>
                    <w:rPr>
                      <w:rFonts w:eastAsia="Times New Roman" w:cs="Times New Roman"/>
                      <w:color w:val="1F497D" w:themeColor="text2"/>
                      <w:sz w:val="15"/>
                      <w:szCs w:val="15"/>
                    </w:rPr>
                  </w:pPr>
                  <w:r w:rsidRPr="005C76FD">
                    <w:rPr>
                      <w:rFonts w:eastAsia="Times New Roman" w:cs="Times New Roman"/>
                      <w:color w:val="1F497D" w:themeColor="text2"/>
                      <w:sz w:val="15"/>
                      <w:szCs w:val="15"/>
                    </w:rPr>
                    <w:t>(ΟΑΣΘ)</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12,5</w:t>
                  </w:r>
                  <w:r w:rsidRPr="00B60C09">
                    <w:rPr>
                      <w:rFonts w:eastAsia="Times New Roman" w:cs="Times New Roman"/>
                      <w:b/>
                      <w:color w:val="1F497D" w:themeColor="text2"/>
                      <w:sz w:val="15"/>
                      <w:szCs w:val="15"/>
                    </w:rPr>
                    <w:t>)</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 </w:t>
                  </w:r>
                  <w:r w:rsidRPr="00B60C09">
                    <w:rPr>
                      <w:rFonts w:eastAsia="Times New Roman" w:cs="Times New Roman"/>
                      <w:b/>
                      <w:color w:val="1F497D" w:themeColor="text2"/>
                      <w:sz w:val="15"/>
                      <w:szCs w:val="15"/>
                    </w:rPr>
                    <w:t>(+12,5)</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BFBFBF" w:themeFill="background1" w:themeFillShade="BF"/>
                  <w:vAlign w:val="center"/>
                  <w:hideMark/>
                </w:tcPr>
                <w:p w:rsidR="00B60C09" w:rsidRPr="005C76FD" w:rsidRDefault="00B60C09" w:rsidP="00B60C09">
                  <w:pPr>
                    <w:rPr>
                      <w:rFonts w:eastAsia="Times New Roman" w:cs="Times New Roman"/>
                      <w:color w:val="1F497D" w:themeColor="text2"/>
                      <w:sz w:val="15"/>
                      <w:szCs w:val="15"/>
                    </w:rPr>
                  </w:pPr>
                  <w:r w:rsidRPr="005C76FD">
                    <w:rPr>
                      <w:rFonts w:eastAsia="Times New Roman" w:cs="Times New Roman"/>
                      <w:color w:val="1F497D" w:themeColor="text2"/>
                      <w:sz w:val="15"/>
                      <w:szCs w:val="15"/>
                    </w:rPr>
                    <w:t>Αυξήσεις φόρων</w:t>
                  </w:r>
                </w:p>
              </w:tc>
              <w:tc>
                <w:tcPr>
                  <w:tcW w:w="708" w:type="dxa"/>
                  <w:shd w:val="clear" w:color="auto" w:fill="BFBFBF" w:themeFill="background1" w:themeFillShade="BF"/>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591,9</w:t>
                  </w:r>
                </w:p>
              </w:tc>
              <w:tc>
                <w:tcPr>
                  <w:tcW w:w="709" w:type="dxa"/>
                  <w:shd w:val="clear" w:color="auto" w:fill="BFBFBF" w:themeFill="background1" w:themeFillShade="BF"/>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3</w:t>
                  </w: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104,8</w:t>
                  </w:r>
                </w:p>
              </w:tc>
              <w:tc>
                <w:tcPr>
                  <w:tcW w:w="992" w:type="dxa"/>
                  <w:shd w:val="clear" w:color="auto" w:fill="BFBFBF" w:themeFill="background1" w:themeFillShade="BF"/>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2</w:t>
                  </w: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512,9</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Αναμόρφωση Κώδικα Φορολογίας Εισοδήματος</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216</w:t>
                  </w:r>
                  <w:r w:rsidRPr="00B60C09">
                    <w:rPr>
                      <w:rFonts w:eastAsia="Times New Roman" w:cs="Times New Roman"/>
                      <w:b/>
                      <w:color w:val="1F497D" w:themeColor="text2"/>
                      <w:sz w:val="15"/>
                      <w:szCs w:val="15"/>
                    </w:rPr>
                    <w:t>,0</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988</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772</w:t>
                  </w:r>
                  <w:r w:rsidRPr="00B60C09">
                    <w:rPr>
                      <w:rFonts w:eastAsia="Times New Roman" w:cs="Times New Roman"/>
                      <w:b/>
                      <w:color w:val="1F497D" w:themeColor="text2"/>
                      <w:sz w:val="15"/>
                      <w:szCs w:val="15"/>
                    </w:rPr>
                    <w:t>,0</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B60C09">
                    <w:rPr>
                      <w:rFonts w:eastAsia="Times New Roman" w:cs="Times New Roman"/>
                      <w:color w:val="1F497D" w:themeColor="text2"/>
                      <w:sz w:val="15"/>
                      <w:szCs w:val="15"/>
                    </w:rPr>
                    <w:t>Α</w:t>
                  </w:r>
                  <w:r w:rsidRPr="005C76FD">
                    <w:rPr>
                      <w:rFonts w:eastAsia="Times New Roman" w:cs="Times New Roman"/>
                      <w:color w:val="1F497D" w:themeColor="text2"/>
                      <w:sz w:val="15"/>
                      <w:szCs w:val="15"/>
                    </w:rPr>
                    <w:t>ναμόρφωση συντελεστών και χρονική επέκταση της ειδικής εισφοράς αλληλεγγύης</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58</w:t>
                  </w:r>
                  <w:r w:rsidRPr="00B60C09">
                    <w:rPr>
                      <w:rFonts w:eastAsia="Times New Roman" w:cs="Times New Roman"/>
                      <w:b/>
                      <w:color w:val="1F497D" w:themeColor="text2"/>
                      <w:sz w:val="15"/>
                      <w:szCs w:val="15"/>
                    </w:rPr>
                    <w:t>,0</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736</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678</w:t>
                  </w:r>
                  <w:r w:rsidRPr="00B60C09">
                    <w:rPr>
                      <w:rFonts w:eastAsia="Times New Roman" w:cs="Times New Roman"/>
                      <w:b/>
                      <w:color w:val="1F497D" w:themeColor="text2"/>
                      <w:sz w:val="15"/>
                      <w:szCs w:val="15"/>
                    </w:rPr>
                    <w:t>,0</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Αύξηση συντελεστή ΦΠΑ (από 23% σε 24%)</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218,6</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437</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218,4</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Αναμόρφωση φορολογίας οχημάτων</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17,5</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30</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12,5</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Φόρος εισοδήματος στα εταιρικά αυτοκίνητα</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 </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91</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91</w:t>
                  </w:r>
                  <w:r w:rsidRPr="00B60C09">
                    <w:rPr>
                      <w:rFonts w:eastAsia="Times New Roman" w:cs="Times New Roman"/>
                      <w:b/>
                      <w:color w:val="1F497D" w:themeColor="text2"/>
                      <w:sz w:val="15"/>
                      <w:szCs w:val="15"/>
                    </w:rPr>
                    <w:t>,0</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Αναμόρφωση Ειδικού Φόρου Κατανάλωσης (ΕΦΚ) ενεργειακών προϊόντων</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-17,6</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422</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439,6</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Αναμόρφωση φορολογίας στα επενδυτικά οχήματα</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 </w:t>
                  </w:r>
                  <w:r w:rsidRPr="00B60C09">
                    <w:rPr>
                      <w:rFonts w:eastAsia="Times New Roman" w:cs="Times New Roman"/>
                      <w:b/>
                      <w:color w:val="1F497D" w:themeColor="text2"/>
                      <w:sz w:val="15"/>
                      <w:szCs w:val="15"/>
                    </w:rPr>
                    <w:t>–</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19,3</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19,3</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Τέλος στη συνδρομητική τηλεόραση</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10,4</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25</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14,6</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Τέλος συνδρομητών σταθερής τηλεφωνίας</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 </w:t>
                  </w:r>
                  <w:r w:rsidRPr="00B60C09">
                    <w:rPr>
                      <w:rFonts w:eastAsia="Times New Roman" w:cs="Times New Roman"/>
                      <w:b/>
                      <w:color w:val="1F497D" w:themeColor="text2"/>
                      <w:sz w:val="15"/>
                      <w:szCs w:val="15"/>
                    </w:rPr>
                    <w:t>–</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54,2</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54,2</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Αύξηση συμμετοχής Δημοσίου στα μικτά κέρδη από τυχερά παίγνια</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56,8</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56,8</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0</w:t>
                  </w:r>
                  <w:r w:rsidRPr="00B60C09">
                    <w:rPr>
                      <w:rFonts w:eastAsia="Times New Roman" w:cs="Times New Roman"/>
                      <w:b/>
                      <w:color w:val="1F497D" w:themeColor="text2"/>
                      <w:sz w:val="15"/>
                      <w:szCs w:val="15"/>
                    </w:rPr>
                    <w:t>,0</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Αύξηση Ειδικού Φόρου Κατανάλωσης (ΕΦΚ) στο ζύθο</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36,2</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62</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25,8</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Αύξηση φόρου κατ</w:t>
                  </w:r>
                  <w:r w:rsidRPr="00B60C09">
                    <w:rPr>
                      <w:rFonts w:eastAsia="Times New Roman" w:cs="Times New Roman"/>
                      <w:color w:val="1F497D" w:themeColor="text2"/>
                      <w:sz w:val="15"/>
                      <w:szCs w:val="15"/>
                    </w:rPr>
                    <w:t>/</w:t>
                  </w:r>
                  <w:r w:rsidRPr="005C76FD">
                    <w:rPr>
                      <w:rFonts w:eastAsia="Times New Roman" w:cs="Times New Roman"/>
                      <w:color w:val="1F497D" w:themeColor="text2"/>
                      <w:sz w:val="15"/>
                      <w:szCs w:val="15"/>
                    </w:rPr>
                    <w:t xml:space="preserve">σης επί τσιγάρων </w:t>
                  </w:r>
                  <w:r w:rsidRPr="00B60C09">
                    <w:rPr>
                      <w:rFonts w:eastAsia="Times New Roman" w:cs="Times New Roman"/>
                      <w:color w:val="1F497D" w:themeColor="text2"/>
                      <w:sz w:val="15"/>
                      <w:szCs w:val="15"/>
                    </w:rPr>
                    <w:t>&amp;</w:t>
                  </w:r>
                  <w:r w:rsidRPr="005C76FD">
                    <w:rPr>
                      <w:rFonts w:eastAsia="Times New Roman" w:cs="Times New Roman"/>
                      <w:color w:val="1F497D" w:themeColor="text2"/>
                      <w:sz w:val="15"/>
                      <w:szCs w:val="15"/>
                    </w:rPr>
                    <w:t xml:space="preserve"> καπνού (συμπ</w:t>
                  </w:r>
                  <w:r w:rsidRPr="00B60C09">
                    <w:rPr>
                      <w:rFonts w:eastAsia="Times New Roman" w:cs="Times New Roman"/>
                      <w:color w:val="1F497D" w:themeColor="text2"/>
                      <w:sz w:val="15"/>
                      <w:szCs w:val="15"/>
                    </w:rPr>
                    <w:t>/</w:t>
                  </w:r>
                  <w:r w:rsidRPr="005C76FD">
                    <w:rPr>
                      <w:rFonts w:eastAsia="Times New Roman" w:cs="Times New Roman"/>
                      <w:color w:val="1F497D" w:themeColor="text2"/>
                      <w:sz w:val="15"/>
                      <w:szCs w:val="15"/>
                    </w:rPr>
                    <w:t xml:space="preserve">νων </w:t>
                  </w:r>
                  <w:r w:rsidRPr="00B60C09">
                    <w:rPr>
                      <w:rFonts w:eastAsia="Times New Roman" w:cs="Times New Roman"/>
                      <w:color w:val="1F497D" w:themeColor="text2"/>
                      <w:sz w:val="15"/>
                      <w:szCs w:val="15"/>
                    </w:rPr>
                    <w:t>&amp;</w:t>
                  </w:r>
                  <w:r w:rsidRPr="005C76FD">
                    <w:rPr>
                      <w:rFonts w:eastAsia="Times New Roman" w:cs="Times New Roman"/>
                      <w:color w:val="1F497D" w:themeColor="text2"/>
                      <w:sz w:val="15"/>
                      <w:szCs w:val="15"/>
                    </w:rPr>
                    <w:t xml:space="preserve"> των ηλ</w:t>
                  </w:r>
                  <w:r w:rsidRPr="00B60C09">
                    <w:rPr>
                      <w:rFonts w:eastAsia="Times New Roman" w:cs="Times New Roman"/>
                      <w:color w:val="1F497D" w:themeColor="text2"/>
                      <w:sz w:val="15"/>
                      <w:szCs w:val="15"/>
                    </w:rPr>
                    <w:t>.</w:t>
                  </w:r>
                  <w:r w:rsidRPr="005C76FD">
                    <w:rPr>
                      <w:rFonts w:eastAsia="Times New Roman" w:cs="Times New Roman"/>
                      <w:color w:val="1F497D" w:themeColor="text2"/>
                      <w:sz w:val="15"/>
                      <w:szCs w:val="15"/>
                    </w:rPr>
                    <w:t xml:space="preserve"> τσιγάρων)</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 </w:t>
                  </w:r>
                  <w:r w:rsidRPr="00B60C09">
                    <w:rPr>
                      <w:rFonts w:eastAsia="Times New Roman" w:cs="Times New Roman"/>
                      <w:b/>
                      <w:color w:val="1F497D" w:themeColor="text2"/>
                      <w:sz w:val="15"/>
                      <w:szCs w:val="15"/>
                    </w:rPr>
                    <w:t>–</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142</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142</w:t>
                  </w:r>
                  <w:r w:rsidRPr="00B60C09">
                    <w:rPr>
                      <w:rFonts w:eastAsia="Times New Roman" w:cs="Times New Roman"/>
                      <w:b/>
                      <w:color w:val="1F497D" w:themeColor="text2"/>
                      <w:sz w:val="15"/>
                      <w:szCs w:val="15"/>
                    </w:rPr>
                    <w:t>,0</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Φόρος επί του καφέ</w:t>
                  </w:r>
                </w:p>
              </w:tc>
              <w:tc>
                <w:tcPr>
                  <w:tcW w:w="708"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 </w:t>
                  </w:r>
                  <w:r w:rsidRPr="00B60C09">
                    <w:rPr>
                      <w:rFonts w:eastAsia="Times New Roman" w:cs="Times New Roman"/>
                      <w:b/>
                      <w:color w:val="1F497D" w:themeColor="text2"/>
                      <w:sz w:val="15"/>
                      <w:szCs w:val="15"/>
                    </w:rPr>
                    <w:t>–</w:t>
                  </w:r>
                </w:p>
              </w:tc>
              <w:tc>
                <w:tcPr>
                  <w:tcW w:w="709"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62</w:t>
                  </w:r>
                  <w:r w:rsidRPr="00B60C09">
                    <w:rPr>
                      <w:rFonts w:eastAsia="Times New Roman" w:cs="Times New Roman"/>
                      <w:b/>
                      <w:color w:val="1F497D" w:themeColor="text2"/>
                      <w:sz w:val="15"/>
                      <w:szCs w:val="15"/>
                    </w:rPr>
                    <w:t>,0</w:t>
                  </w:r>
                </w:p>
              </w:tc>
              <w:tc>
                <w:tcPr>
                  <w:tcW w:w="992" w:type="dxa"/>
                  <w:shd w:val="clear" w:color="auto" w:fill="auto"/>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1F497D" w:themeColor="text2"/>
                      <w:sz w:val="15"/>
                      <w:szCs w:val="15"/>
                    </w:rPr>
                  </w:pPr>
                  <w:r w:rsidRPr="00B60C09">
                    <w:rPr>
                      <w:rFonts w:eastAsia="Times New Roman" w:cs="Times New Roman"/>
                      <w:b/>
                      <w:color w:val="1F497D" w:themeColor="text2"/>
                      <w:sz w:val="15"/>
                      <w:szCs w:val="15"/>
                    </w:rPr>
                    <w:t>+</w:t>
                  </w:r>
                  <w:r w:rsidRPr="005C76FD">
                    <w:rPr>
                      <w:rFonts w:eastAsia="Times New Roman" w:cs="Times New Roman"/>
                      <w:b/>
                      <w:color w:val="1F497D" w:themeColor="text2"/>
                      <w:sz w:val="15"/>
                      <w:szCs w:val="15"/>
                    </w:rPr>
                    <w:t>62</w:t>
                  </w:r>
                  <w:r w:rsidRPr="00B60C09">
                    <w:rPr>
                      <w:rFonts w:eastAsia="Times New Roman" w:cs="Times New Roman"/>
                      <w:b/>
                      <w:color w:val="1F497D" w:themeColor="text2"/>
                      <w:sz w:val="15"/>
                      <w:szCs w:val="15"/>
                    </w:rPr>
                    <w:t>,0</w:t>
                  </w:r>
                </w:p>
              </w:tc>
            </w:tr>
            <w:tr w:rsidR="00B60C09" w:rsidRPr="00B60C09" w:rsidTr="00B60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auto"/>
                  <w:vAlign w:val="center"/>
                  <w:hideMark/>
                </w:tcPr>
                <w:p w:rsidR="00B60C09" w:rsidRPr="005C76FD" w:rsidRDefault="00B60C09" w:rsidP="00B60C09">
                  <w:pPr>
                    <w:ind w:left="183"/>
                    <w:rPr>
                      <w:rFonts w:eastAsia="Times New Roman" w:cs="Times New Roman"/>
                      <w:color w:val="1F497D" w:themeColor="text2"/>
                      <w:sz w:val="15"/>
                      <w:szCs w:val="15"/>
                    </w:rPr>
                  </w:pPr>
                  <w:r w:rsidRPr="005C76FD">
                    <w:rPr>
                      <w:rFonts w:eastAsia="Times New Roman" w:cs="Times New Roman"/>
                      <w:color w:val="1F497D" w:themeColor="text2"/>
                      <w:sz w:val="15"/>
                      <w:szCs w:val="15"/>
                    </w:rPr>
                    <w:t>Φορολογικές απαλλαγές από το νέο επενδυτικό νόμο</w:t>
                  </w:r>
                </w:p>
              </w:tc>
              <w:tc>
                <w:tcPr>
                  <w:tcW w:w="708"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-4</w:t>
                  </w:r>
                  <w:r w:rsidRPr="00B60C09">
                    <w:rPr>
                      <w:rFonts w:eastAsia="Times New Roman" w:cs="Times New Roman"/>
                      <w:b/>
                      <w:color w:val="1F497D" w:themeColor="text2"/>
                      <w:sz w:val="15"/>
                      <w:szCs w:val="15"/>
                    </w:rPr>
                    <w:t>,0</w:t>
                  </w:r>
                </w:p>
              </w:tc>
              <w:tc>
                <w:tcPr>
                  <w:tcW w:w="709"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-20,4</w:t>
                  </w:r>
                </w:p>
              </w:tc>
              <w:tc>
                <w:tcPr>
                  <w:tcW w:w="992" w:type="dxa"/>
                  <w:shd w:val="clear" w:color="auto" w:fill="auto"/>
                  <w:vAlign w:val="center"/>
                  <w:hideMark/>
                </w:tcPr>
                <w:p w:rsidR="00B60C09" w:rsidRPr="005C76FD" w:rsidRDefault="00B60C09" w:rsidP="00B60C0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1F497D" w:themeColor="text2"/>
                      <w:sz w:val="15"/>
                      <w:szCs w:val="15"/>
                    </w:rPr>
                  </w:pPr>
                  <w:r w:rsidRPr="005C76FD">
                    <w:rPr>
                      <w:rFonts w:eastAsia="Times New Roman" w:cs="Times New Roman"/>
                      <w:b/>
                      <w:color w:val="1F497D" w:themeColor="text2"/>
                      <w:sz w:val="15"/>
                      <w:szCs w:val="15"/>
                    </w:rPr>
                    <w:t>-16,4</w:t>
                  </w:r>
                </w:p>
              </w:tc>
            </w:tr>
            <w:tr w:rsidR="00B60C09" w:rsidRPr="00B60C09" w:rsidTr="00B60C09">
              <w:trPr>
                <w:trHeight w:val="20"/>
              </w:trPr>
              <w:tc>
                <w:tcPr>
                  <w:cnfStyle w:val="001000000000" w:firstRow="0" w:lastRow="0" w:firstColumn="1" w:lastColumn="0" w:oddVBand="0" w:evenVBand="0" w:oddHBand="0" w:evenHBand="0" w:firstRowFirstColumn="0" w:firstRowLastColumn="0" w:lastRowFirstColumn="0" w:lastRowLastColumn="0"/>
                  <w:tcW w:w="2719" w:type="dxa"/>
                  <w:shd w:val="clear" w:color="auto" w:fill="BFBFBF" w:themeFill="background1" w:themeFillShade="BF"/>
                  <w:vAlign w:val="center"/>
                  <w:hideMark/>
                </w:tcPr>
                <w:p w:rsidR="00B60C09" w:rsidRPr="005C76FD" w:rsidRDefault="00B60C09" w:rsidP="00B60C09">
                  <w:pPr>
                    <w:rPr>
                      <w:rFonts w:eastAsia="Times New Roman" w:cs="Times New Roman"/>
                      <w:color w:val="1F497D" w:themeColor="text2"/>
                      <w:sz w:val="15"/>
                      <w:szCs w:val="15"/>
                    </w:rPr>
                  </w:pPr>
                  <w:r w:rsidRPr="005C76FD">
                    <w:rPr>
                      <w:rFonts w:eastAsia="Times New Roman" w:cs="Times New Roman"/>
                      <w:color w:val="1F497D" w:themeColor="text2"/>
                      <w:sz w:val="15"/>
                      <w:szCs w:val="15"/>
                    </w:rPr>
                    <w:t xml:space="preserve">Σύνολο παρεμβάσεων </w:t>
                  </w:r>
                </w:p>
              </w:tc>
              <w:tc>
                <w:tcPr>
                  <w:tcW w:w="708" w:type="dxa"/>
                  <w:shd w:val="clear" w:color="auto" w:fill="BFBFBF" w:themeFill="background1" w:themeFillShade="BF"/>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1F497D" w:themeColor="text2"/>
                      <w:sz w:val="15"/>
                      <w:szCs w:val="15"/>
                    </w:rPr>
                  </w:pPr>
                  <w:r w:rsidRPr="005C76FD">
                    <w:rPr>
                      <w:rFonts w:eastAsia="Times New Roman" w:cs="Times New Roman"/>
                      <w:b/>
                      <w:bCs/>
                      <w:color w:val="1F497D" w:themeColor="text2"/>
                      <w:sz w:val="15"/>
                      <w:szCs w:val="15"/>
                    </w:rPr>
                    <w:t>1</w:t>
                  </w:r>
                  <w:r w:rsidRPr="00B60C09">
                    <w:rPr>
                      <w:rFonts w:eastAsia="Times New Roman" w:cs="Times New Roman"/>
                      <w:b/>
                      <w:bCs/>
                      <w:color w:val="1F497D" w:themeColor="text2"/>
                      <w:sz w:val="15"/>
                      <w:szCs w:val="15"/>
                    </w:rPr>
                    <w:t>.</w:t>
                  </w:r>
                  <w:r w:rsidRPr="005C76FD">
                    <w:rPr>
                      <w:rFonts w:eastAsia="Times New Roman" w:cs="Times New Roman"/>
                      <w:b/>
                      <w:bCs/>
                      <w:color w:val="1F497D" w:themeColor="text2"/>
                      <w:sz w:val="15"/>
                      <w:szCs w:val="15"/>
                    </w:rPr>
                    <w:t>387,3</w:t>
                  </w:r>
                </w:p>
              </w:tc>
              <w:tc>
                <w:tcPr>
                  <w:tcW w:w="709" w:type="dxa"/>
                  <w:shd w:val="clear" w:color="auto" w:fill="BFBFBF" w:themeFill="background1" w:themeFillShade="BF"/>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1F497D" w:themeColor="text2"/>
                      <w:sz w:val="15"/>
                      <w:szCs w:val="15"/>
                    </w:rPr>
                  </w:pPr>
                  <w:r w:rsidRPr="005C76FD">
                    <w:rPr>
                      <w:rFonts w:eastAsia="Times New Roman" w:cs="Times New Roman"/>
                      <w:b/>
                      <w:bCs/>
                      <w:color w:val="1F497D" w:themeColor="text2"/>
                      <w:sz w:val="15"/>
                      <w:szCs w:val="15"/>
                    </w:rPr>
                    <w:t>3</w:t>
                  </w:r>
                  <w:r w:rsidRPr="00B60C09">
                    <w:rPr>
                      <w:rFonts w:eastAsia="Times New Roman" w:cs="Times New Roman"/>
                      <w:b/>
                      <w:bCs/>
                      <w:color w:val="1F497D" w:themeColor="text2"/>
                      <w:sz w:val="15"/>
                      <w:szCs w:val="15"/>
                    </w:rPr>
                    <w:t>.</w:t>
                  </w:r>
                  <w:r w:rsidRPr="005C76FD">
                    <w:rPr>
                      <w:rFonts w:eastAsia="Times New Roman" w:cs="Times New Roman"/>
                      <w:b/>
                      <w:bCs/>
                      <w:color w:val="1F497D" w:themeColor="text2"/>
                      <w:sz w:val="15"/>
                      <w:szCs w:val="15"/>
                    </w:rPr>
                    <w:t>978,9</w:t>
                  </w:r>
                </w:p>
              </w:tc>
              <w:tc>
                <w:tcPr>
                  <w:tcW w:w="992" w:type="dxa"/>
                  <w:shd w:val="clear" w:color="auto" w:fill="BFBFBF" w:themeFill="background1" w:themeFillShade="BF"/>
                  <w:vAlign w:val="center"/>
                  <w:hideMark/>
                </w:tcPr>
                <w:p w:rsidR="00B60C09" w:rsidRPr="005C76FD" w:rsidRDefault="00B60C09" w:rsidP="00B60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1F497D" w:themeColor="text2"/>
                      <w:sz w:val="15"/>
                      <w:szCs w:val="15"/>
                    </w:rPr>
                  </w:pPr>
                  <w:r w:rsidRPr="00B60C09">
                    <w:rPr>
                      <w:rFonts w:eastAsia="Times New Roman" w:cs="Times New Roman"/>
                      <w:b/>
                      <w:bCs/>
                      <w:color w:val="1F497D" w:themeColor="text2"/>
                      <w:sz w:val="15"/>
                      <w:szCs w:val="15"/>
                    </w:rPr>
                    <w:t>+</w:t>
                  </w:r>
                  <w:r w:rsidRPr="005C76FD">
                    <w:rPr>
                      <w:rFonts w:eastAsia="Times New Roman" w:cs="Times New Roman"/>
                      <w:b/>
                      <w:bCs/>
                      <w:color w:val="1F497D" w:themeColor="text2"/>
                      <w:sz w:val="15"/>
                      <w:szCs w:val="15"/>
                    </w:rPr>
                    <w:t>2</w:t>
                  </w:r>
                  <w:r w:rsidRPr="00B60C09">
                    <w:rPr>
                      <w:rFonts w:eastAsia="Times New Roman" w:cs="Times New Roman"/>
                      <w:b/>
                      <w:bCs/>
                      <w:color w:val="1F497D" w:themeColor="text2"/>
                      <w:sz w:val="15"/>
                      <w:szCs w:val="15"/>
                    </w:rPr>
                    <w:t>.</w:t>
                  </w:r>
                  <w:r w:rsidRPr="005C76FD">
                    <w:rPr>
                      <w:rFonts w:eastAsia="Times New Roman" w:cs="Times New Roman"/>
                      <w:b/>
                      <w:bCs/>
                      <w:color w:val="1F497D" w:themeColor="text2"/>
                      <w:sz w:val="15"/>
                      <w:szCs w:val="15"/>
                    </w:rPr>
                    <w:t>591,6</w:t>
                  </w:r>
                </w:p>
              </w:tc>
            </w:tr>
          </w:tbl>
          <w:p w:rsidR="00B97485" w:rsidRDefault="003D1569" w:rsidP="00E172AB">
            <w:pPr>
              <w:rPr>
                <w:color w:val="1F497D" w:themeColor="text2"/>
                <w:sz w:val="16"/>
                <w:szCs w:val="16"/>
              </w:rPr>
            </w:pPr>
            <w:r w:rsidRPr="003D1569">
              <w:rPr>
                <w:color w:val="1F497D" w:themeColor="text2"/>
                <w:sz w:val="16"/>
                <w:szCs w:val="16"/>
              </w:rPr>
              <w:t xml:space="preserve">* </w:t>
            </w:r>
            <w:r w:rsidR="00BC4EC3">
              <w:rPr>
                <w:color w:val="1F497D" w:themeColor="text2"/>
                <w:sz w:val="16"/>
                <w:szCs w:val="16"/>
              </w:rPr>
              <w:t>Μείον: μείωση φόρων ή αύξηση δαπανών</w:t>
            </w:r>
          </w:p>
          <w:p w:rsidR="003D1569" w:rsidRPr="003D1569" w:rsidRDefault="003D1569" w:rsidP="00E172AB">
            <w:pPr>
              <w:rPr>
                <w:color w:val="1F497D" w:themeColor="text2"/>
                <w:sz w:val="16"/>
                <w:szCs w:val="16"/>
              </w:rPr>
            </w:pPr>
          </w:p>
          <w:p w:rsidR="00E172AB" w:rsidRPr="008D1EDD" w:rsidRDefault="00E172AB" w:rsidP="00E172AB">
            <w:pPr>
              <w:rPr>
                <w:color w:val="7030A0"/>
                <w:sz w:val="20"/>
                <w:szCs w:val="20"/>
              </w:rPr>
            </w:pPr>
            <w:r w:rsidRPr="008D1EDD">
              <w:rPr>
                <w:b/>
                <w:color w:val="7030A0"/>
                <w:sz w:val="20"/>
                <w:szCs w:val="20"/>
                <w:u w:val="single"/>
              </w:rPr>
              <w:t xml:space="preserve">Διάγραμμα </w:t>
            </w:r>
            <w:r w:rsidR="009A5501">
              <w:rPr>
                <w:b/>
                <w:color w:val="7030A0"/>
                <w:sz w:val="20"/>
                <w:szCs w:val="20"/>
                <w:u w:val="single"/>
              </w:rPr>
              <w:t>7</w:t>
            </w:r>
            <w:r w:rsidRPr="008D1EDD">
              <w:rPr>
                <w:b/>
                <w:color w:val="7030A0"/>
                <w:sz w:val="20"/>
                <w:szCs w:val="20"/>
              </w:rPr>
              <w:t xml:space="preserve">: </w:t>
            </w:r>
            <w:r>
              <w:rPr>
                <w:b/>
                <w:color w:val="7030A0"/>
                <w:sz w:val="20"/>
                <w:szCs w:val="20"/>
              </w:rPr>
              <w:t xml:space="preserve">Οικονομικό κλίμα </w:t>
            </w:r>
            <w:r w:rsidR="00E21CEE">
              <w:rPr>
                <w:b/>
                <w:color w:val="7030A0"/>
                <w:sz w:val="20"/>
                <w:szCs w:val="20"/>
              </w:rPr>
              <w:t>και π</w:t>
            </w:r>
            <w:r>
              <w:rPr>
                <w:b/>
                <w:color w:val="7030A0"/>
                <w:sz w:val="20"/>
                <w:szCs w:val="20"/>
              </w:rPr>
              <w:t>ροσδοκίες στους επιμέρους τομείς</w:t>
            </w:r>
            <w:r w:rsidRPr="008D1EDD">
              <w:rPr>
                <w:b/>
                <w:color w:val="7030A0"/>
                <w:sz w:val="20"/>
                <w:szCs w:val="20"/>
              </w:rPr>
              <w:t xml:space="preserve"> </w:t>
            </w:r>
            <w:r w:rsidRPr="008D1EDD">
              <w:rPr>
                <w:color w:val="7030A0"/>
                <w:sz w:val="20"/>
                <w:szCs w:val="20"/>
              </w:rPr>
              <w:t>(</w:t>
            </w:r>
            <w:r>
              <w:rPr>
                <w:color w:val="7030A0"/>
                <w:sz w:val="20"/>
                <w:szCs w:val="20"/>
              </w:rPr>
              <w:t>ΕΕ-</w:t>
            </w:r>
            <w:r>
              <w:rPr>
                <w:color w:val="7030A0"/>
                <w:sz w:val="20"/>
                <w:szCs w:val="20"/>
                <w:lang w:val="en-US"/>
              </w:rPr>
              <w:t>DG</w:t>
            </w:r>
            <w:r w:rsidRPr="000040D5">
              <w:rPr>
                <w:color w:val="7030A0"/>
                <w:sz w:val="20"/>
                <w:szCs w:val="20"/>
              </w:rPr>
              <w:t xml:space="preserve"> </w:t>
            </w:r>
            <w:r>
              <w:rPr>
                <w:color w:val="7030A0"/>
                <w:sz w:val="20"/>
                <w:szCs w:val="20"/>
                <w:lang w:val="en-US"/>
              </w:rPr>
              <w:t>ECFIN</w:t>
            </w:r>
            <w:r w:rsidRPr="008D1EDD">
              <w:rPr>
                <w:color w:val="7030A0"/>
                <w:sz w:val="20"/>
                <w:szCs w:val="20"/>
              </w:rPr>
              <w:t xml:space="preserve">, </w:t>
            </w:r>
            <w:r>
              <w:rPr>
                <w:color w:val="7030A0"/>
                <w:sz w:val="20"/>
                <w:szCs w:val="20"/>
              </w:rPr>
              <w:t>Σεπ</w:t>
            </w:r>
            <w:r w:rsidRPr="008D1EDD">
              <w:rPr>
                <w:color w:val="7030A0"/>
                <w:sz w:val="20"/>
                <w:szCs w:val="20"/>
              </w:rPr>
              <w:t xml:space="preserve">. 2016) </w:t>
            </w:r>
          </w:p>
          <w:p w:rsidR="00E172AB" w:rsidRDefault="00E21CEE" w:rsidP="00E172AB">
            <w:pPr>
              <w:rPr>
                <w:sz w:val="18"/>
                <w:szCs w:val="18"/>
              </w:rPr>
            </w:pPr>
            <w:r>
              <w:rPr>
                <w:noProof/>
                <w:sz w:val="18"/>
                <w:szCs w:val="18"/>
              </w:rPr>
              <w:drawing>
                <wp:inline distT="0" distB="0" distL="0" distR="0">
                  <wp:extent cx="3233469" cy="1981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b="11314"/>
                          <a:stretch/>
                        </pic:blipFill>
                        <pic:spPr bwMode="auto">
                          <a:xfrm>
                            <a:off x="0" y="0"/>
                            <a:ext cx="3259558" cy="1997185"/>
                          </a:xfrm>
                          <a:prstGeom prst="rect">
                            <a:avLst/>
                          </a:prstGeom>
                          <a:noFill/>
                          <a:ln>
                            <a:noFill/>
                          </a:ln>
                          <a:extLst>
                            <a:ext uri="{53640926-AAD7-44D8-BBD7-CCE9431645EC}">
                              <a14:shadowObscured xmlns:a14="http://schemas.microsoft.com/office/drawing/2010/main"/>
                            </a:ext>
                          </a:extLst>
                        </pic:spPr>
                      </pic:pic>
                    </a:graphicData>
                  </a:graphic>
                </wp:inline>
              </w:drawing>
            </w:r>
          </w:p>
          <w:p w:rsidR="00E172AB" w:rsidRPr="008D1EDD" w:rsidRDefault="00E172AB" w:rsidP="00E172AB">
            <w:pPr>
              <w:rPr>
                <w:color w:val="7030A0"/>
                <w:sz w:val="20"/>
                <w:szCs w:val="20"/>
              </w:rPr>
            </w:pPr>
            <w:r w:rsidRPr="008D1EDD">
              <w:rPr>
                <w:b/>
                <w:color w:val="7030A0"/>
                <w:sz w:val="20"/>
                <w:szCs w:val="20"/>
                <w:u w:val="single"/>
              </w:rPr>
              <w:t xml:space="preserve">Διάγραμμα </w:t>
            </w:r>
            <w:r w:rsidR="009A5501">
              <w:rPr>
                <w:b/>
                <w:color w:val="7030A0"/>
                <w:sz w:val="20"/>
                <w:szCs w:val="20"/>
                <w:u w:val="single"/>
              </w:rPr>
              <w:t>8</w:t>
            </w:r>
            <w:r w:rsidRPr="008D1EDD">
              <w:rPr>
                <w:b/>
                <w:color w:val="7030A0"/>
                <w:sz w:val="20"/>
                <w:szCs w:val="20"/>
              </w:rPr>
              <w:t xml:space="preserve">: </w:t>
            </w:r>
            <w:r>
              <w:rPr>
                <w:b/>
                <w:color w:val="7030A0"/>
                <w:sz w:val="20"/>
                <w:szCs w:val="20"/>
              </w:rPr>
              <w:t>Καταναλωτική εμπιστοσύνη, Ελλάδα και Ευρωζώνη</w:t>
            </w:r>
            <w:r w:rsidRPr="008D1EDD">
              <w:rPr>
                <w:b/>
                <w:color w:val="7030A0"/>
                <w:sz w:val="20"/>
                <w:szCs w:val="20"/>
              </w:rPr>
              <w:t xml:space="preserve"> </w:t>
            </w:r>
            <w:r w:rsidRPr="008D1EDD">
              <w:rPr>
                <w:color w:val="7030A0"/>
                <w:sz w:val="20"/>
                <w:szCs w:val="20"/>
              </w:rPr>
              <w:t>(</w:t>
            </w:r>
            <w:r>
              <w:rPr>
                <w:color w:val="7030A0"/>
                <w:sz w:val="20"/>
                <w:szCs w:val="20"/>
              </w:rPr>
              <w:t>ΕΕ-</w:t>
            </w:r>
            <w:r>
              <w:rPr>
                <w:color w:val="7030A0"/>
                <w:sz w:val="20"/>
                <w:szCs w:val="20"/>
                <w:lang w:val="en-US"/>
              </w:rPr>
              <w:t>DG</w:t>
            </w:r>
            <w:r w:rsidRPr="00E172AB">
              <w:rPr>
                <w:color w:val="7030A0"/>
                <w:sz w:val="20"/>
                <w:szCs w:val="20"/>
              </w:rPr>
              <w:t xml:space="preserve"> </w:t>
            </w:r>
            <w:r>
              <w:rPr>
                <w:color w:val="7030A0"/>
                <w:sz w:val="20"/>
                <w:szCs w:val="20"/>
                <w:lang w:val="en-US"/>
              </w:rPr>
              <w:t>ECFIN</w:t>
            </w:r>
            <w:r w:rsidRPr="008D1EDD">
              <w:rPr>
                <w:color w:val="7030A0"/>
                <w:sz w:val="20"/>
                <w:szCs w:val="20"/>
              </w:rPr>
              <w:t xml:space="preserve">, </w:t>
            </w:r>
            <w:r>
              <w:rPr>
                <w:color w:val="7030A0"/>
                <w:sz w:val="20"/>
                <w:szCs w:val="20"/>
              </w:rPr>
              <w:t>Σεπ</w:t>
            </w:r>
            <w:r w:rsidRPr="008D1EDD">
              <w:rPr>
                <w:color w:val="7030A0"/>
                <w:sz w:val="20"/>
                <w:szCs w:val="20"/>
              </w:rPr>
              <w:t xml:space="preserve">. 2016) </w:t>
            </w:r>
          </w:p>
          <w:p w:rsidR="00E172AB" w:rsidRDefault="00E21CEE" w:rsidP="00E172AB">
            <w:pPr>
              <w:rPr>
                <w:b/>
                <w:color w:val="365F91" w:themeColor="accent1" w:themeShade="BF"/>
                <w:sz w:val="18"/>
                <w:szCs w:val="18"/>
              </w:rPr>
            </w:pPr>
            <w:r>
              <w:rPr>
                <w:b/>
                <w:noProof/>
                <w:color w:val="365F91" w:themeColor="accent1" w:themeShade="BF"/>
                <w:sz w:val="18"/>
                <w:szCs w:val="18"/>
              </w:rPr>
              <w:lastRenderedPageBreak/>
              <w:drawing>
                <wp:inline distT="0" distB="0" distL="0" distR="0">
                  <wp:extent cx="3239669" cy="1704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b="19417"/>
                          <a:stretch/>
                        </pic:blipFill>
                        <pic:spPr bwMode="auto">
                          <a:xfrm>
                            <a:off x="0" y="0"/>
                            <a:ext cx="3240000" cy="1705149"/>
                          </a:xfrm>
                          <a:prstGeom prst="rect">
                            <a:avLst/>
                          </a:prstGeom>
                          <a:noFill/>
                          <a:ln>
                            <a:noFill/>
                          </a:ln>
                          <a:extLst>
                            <a:ext uri="{53640926-AAD7-44D8-BBD7-CCE9431645EC}">
                              <a14:shadowObscured xmlns:a14="http://schemas.microsoft.com/office/drawing/2010/main"/>
                            </a:ext>
                          </a:extLst>
                        </pic:spPr>
                      </pic:pic>
                    </a:graphicData>
                  </a:graphic>
                </wp:inline>
              </w:drawing>
            </w:r>
          </w:p>
          <w:p w:rsidR="00E172AB" w:rsidRPr="008D1EDD" w:rsidRDefault="00E172AB" w:rsidP="00E172AB">
            <w:pPr>
              <w:rPr>
                <w:color w:val="7030A0"/>
                <w:sz w:val="20"/>
                <w:szCs w:val="20"/>
              </w:rPr>
            </w:pPr>
            <w:r w:rsidRPr="008D1EDD">
              <w:rPr>
                <w:b/>
                <w:color w:val="7030A0"/>
                <w:sz w:val="20"/>
                <w:szCs w:val="20"/>
                <w:u w:val="single"/>
              </w:rPr>
              <w:t xml:space="preserve">Διάγραμμα </w:t>
            </w:r>
            <w:r w:rsidR="009A5501">
              <w:rPr>
                <w:b/>
                <w:color w:val="7030A0"/>
                <w:sz w:val="20"/>
                <w:szCs w:val="20"/>
                <w:u w:val="single"/>
              </w:rPr>
              <w:t>9</w:t>
            </w:r>
            <w:r w:rsidRPr="008D1EDD">
              <w:rPr>
                <w:b/>
                <w:color w:val="7030A0"/>
                <w:sz w:val="20"/>
                <w:szCs w:val="20"/>
              </w:rPr>
              <w:t xml:space="preserve">: </w:t>
            </w:r>
            <w:r>
              <w:rPr>
                <w:b/>
                <w:color w:val="7030A0"/>
                <w:sz w:val="20"/>
                <w:szCs w:val="20"/>
              </w:rPr>
              <w:t>Δείκτης Υπευθύνων Προμηθειών (</w:t>
            </w:r>
            <w:r>
              <w:rPr>
                <w:b/>
                <w:color w:val="7030A0"/>
                <w:sz w:val="20"/>
                <w:szCs w:val="20"/>
                <w:lang w:val="en-US"/>
              </w:rPr>
              <w:t>PMI</w:t>
            </w:r>
            <w:r w:rsidRPr="00E172AB">
              <w:rPr>
                <w:b/>
                <w:color w:val="7030A0"/>
                <w:sz w:val="20"/>
                <w:szCs w:val="20"/>
              </w:rPr>
              <w:t xml:space="preserve">) </w:t>
            </w:r>
            <w:r>
              <w:rPr>
                <w:b/>
                <w:color w:val="7030A0"/>
                <w:sz w:val="20"/>
                <w:szCs w:val="20"/>
              </w:rPr>
              <w:t>στη μεταποίηση, Ελλάδα και Ευρωζώνη</w:t>
            </w:r>
            <w:r w:rsidRPr="008D1EDD">
              <w:rPr>
                <w:b/>
                <w:color w:val="7030A0"/>
                <w:sz w:val="20"/>
                <w:szCs w:val="20"/>
              </w:rPr>
              <w:t xml:space="preserve"> </w:t>
            </w:r>
            <w:r w:rsidRPr="008D1EDD">
              <w:rPr>
                <w:color w:val="7030A0"/>
                <w:sz w:val="20"/>
                <w:szCs w:val="20"/>
              </w:rPr>
              <w:t>(</w:t>
            </w:r>
            <w:r>
              <w:rPr>
                <w:color w:val="7030A0"/>
                <w:sz w:val="20"/>
                <w:szCs w:val="20"/>
                <w:lang w:val="en-US"/>
              </w:rPr>
              <w:t>Markit</w:t>
            </w:r>
            <w:r w:rsidRPr="008D1EDD">
              <w:rPr>
                <w:color w:val="7030A0"/>
                <w:sz w:val="20"/>
                <w:szCs w:val="20"/>
              </w:rPr>
              <w:t xml:space="preserve">, </w:t>
            </w:r>
            <w:r>
              <w:rPr>
                <w:color w:val="7030A0"/>
                <w:sz w:val="20"/>
                <w:szCs w:val="20"/>
              </w:rPr>
              <w:t>Σεπ</w:t>
            </w:r>
            <w:r w:rsidRPr="008D1EDD">
              <w:rPr>
                <w:color w:val="7030A0"/>
                <w:sz w:val="20"/>
                <w:szCs w:val="20"/>
              </w:rPr>
              <w:t xml:space="preserve">. 2016) </w:t>
            </w:r>
          </w:p>
          <w:p w:rsidR="00E172AB" w:rsidRPr="00A7161F" w:rsidRDefault="00E21CEE" w:rsidP="00E172AB">
            <w:pPr>
              <w:rPr>
                <w:b/>
                <w:color w:val="7030A0"/>
                <w:sz w:val="20"/>
                <w:szCs w:val="20"/>
              </w:rPr>
            </w:pPr>
            <w:r>
              <w:rPr>
                <w:b/>
                <w:noProof/>
                <w:color w:val="7030A0"/>
                <w:sz w:val="20"/>
                <w:szCs w:val="20"/>
              </w:rPr>
              <w:drawing>
                <wp:inline distT="0" distB="0" distL="0" distR="0">
                  <wp:extent cx="3239669" cy="1762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b="16717"/>
                          <a:stretch/>
                        </pic:blipFill>
                        <pic:spPr bwMode="auto">
                          <a:xfrm>
                            <a:off x="0" y="0"/>
                            <a:ext cx="3240000" cy="1762305"/>
                          </a:xfrm>
                          <a:prstGeom prst="rect">
                            <a:avLst/>
                          </a:prstGeom>
                          <a:noFill/>
                          <a:ln>
                            <a:noFill/>
                          </a:ln>
                          <a:extLst>
                            <a:ext uri="{53640926-AAD7-44D8-BBD7-CCE9431645EC}">
                              <a14:shadowObscured xmlns:a14="http://schemas.microsoft.com/office/drawing/2010/main"/>
                            </a:ext>
                          </a:extLst>
                        </pic:spPr>
                      </pic:pic>
                    </a:graphicData>
                  </a:graphic>
                </wp:inline>
              </w:drawing>
            </w:r>
          </w:p>
          <w:p w:rsidR="00E172AB" w:rsidRPr="008D1EDD" w:rsidRDefault="00E172AB" w:rsidP="00E172AB">
            <w:pPr>
              <w:rPr>
                <w:b/>
                <w:color w:val="7030A0"/>
                <w:sz w:val="20"/>
                <w:szCs w:val="20"/>
              </w:rPr>
            </w:pPr>
            <w:r w:rsidRPr="008D1EDD">
              <w:rPr>
                <w:b/>
                <w:color w:val="7030A0"/>
                <w:sz w:val="20"/>
                <w:szCs w:val="20"/>
                <w:u w:val="single"/>
              </w:rPr>
              <w:t xml:space="preserve">Διάγραμμα </w:t>
            </w:r>
            <w:r w:rsidR="009A5501">
              <w:rPr>
                <w:b/>
                <w:color w:val="7030A0"/>
                <w:sz w:val="20"/>
                <w:szCs w:val="20"/>
                <w:u w:val="single"/>
              </w:rPr>
              <w:t>10</w:t>
            </w:r>
            <w:r w:rsidRPr="008D1EDD">
              <w:rPr>
                <w:b/>
                <w:color w:val="7030A0"/>
                <w:sz w:val="20"/>
                <w:szCs w:val="20"/>
              </w:rPr>
              <w:t xml:space="preserve">: Μεταβολές του δείκτη όγκου </w:t>
            </w:r>
          </w:p>
          <w:p w:rsidR="00E172AB" w:rsidRPr="008D1EDD" w:rsidRDefault="00E172AB" w:rsidP="00E172AB">
            <w:pPr>
              <w:rPr>
                <w:color w:val="7030A0"/>
                <w:sz w:val="20"/>
                <w:szCs w:val="20"/>
              </w:rPr>
            </w:pPr>
            <w:r w:rsidRPr="008D1EDD">
              <w:rPr>
                <w:color w:val="7030A0"/>
                <w:sz w:val="20"/>
                <w:szCs w:val="20"/>
              </w:rPr>
              <w:t xml:space="preserve">(ΕΛΣΤΑΤ, Ιουλ. 2016) </w:t>
            </w:r>
          </w:p>
          <w:p w:rsidR="00E172AB" w:rsidRDefault="00E172AB" w:rsidP="00E172AB">
            <w:r>
              <w:rPr>
                <w:noProof/>
              </w:rPr>
              <w:drawing>
                <wp:inline distT="0" distB="0" distL="0" distR="0">
                  <wp:extent cx="3239135"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1512" cy="1753886"/>
                          </a:xfrm>
                          <a:prstGeom prst="rect">
                            <a:avLst/>
                          </a:prstGeom>
                          <a:noFill/>
                        </pic:spPr>
                      </pic:pic>
                    </a:graphicData>
                  </a:graphic>
                </wp:inline>
              </w:drawing>
            </w:r>
          </w:p>
          <w:p w:rsidR="003D1569" w:rsidRDefault="003D1569" w:rsidP="00E172AB">
            <w:pPr>
              <w:rPr>
                <w:b/>
                <w:color w:val="7030A0"/>
                <w:sz w:val="20"/>
                <w:szCs w:val="20"/>
                <w:u w:val="single"/>
              </w:rPr>
            </w:pPr>
          </w:p>
          <w:p w:rsidR="00E172AB" w:rsidRPr="008D1EDD" w:rsidRDefault="00E172AB" w:rsidP="00E172AB">
            <w:pPr>
              <w:rPr>
                <w:b/>
                <w:color w:val="7030A0"/>
                <w:sz w:val="20"/>
                <w:szCs w:val="20"/>
              </w:rPr>
            </w:pPr>
            <w:r w:rsidRPr="008D1EDD">
              <w:rPr>
                <w:b/>
                <w:color w:val="7030A0"/>
                <w:sz w:val="20"/>
                <w:szCs w:val="20"/>
                <w:u w:val="single"/>
              </w:rPr>
              <w:t xml:space="preserve">Διάγραμμα </w:t>
            </w:r>
            <w:r w:rsidR="009A5501">
              <w:rPr>
                <w:b/>
                <w:color w:val="7030A0"/>
                <w:sz w:val="20"/>
                <w:szCs w:val="20"/>
                <w:u w:val="single"/>
              </w:rPr>
              <w:t>11</w:t>
            </w:r>
            <w:r w:rsidRPr="008D1EDD">
              <w:rPr>
                <w:b/>
                <w:color w:val="7030A0"/>
                <w:sz w:val="20"/>
                <w:szCs w:val="20"/>
              </w:rPr>
              <w:t>: Δείκτης όγκου στο λιανικό εμπόριο  - % μεταβολή ανά κατηγορία καταστημάτων</w:t>
            </w:r>
          </w:p>
          <w:p w:rsidR="00E172AB" w:rsidRPr="008D1EDD" w:rsidRDefault="00E172AB" w:rsidP="00E172AB">
            <w:pPr>
              <w:rPr>
                <w:color w:val="7030A0"/>
                <w:sz w:val="20"/>
                <w:szCs w:val="20"/>
              </w:rPr>
            </w:pPr>
            <w:r w:rsidRPr="008D1EDD">
              <w:rPr>
                <w:color w:val="7030A0"/>
                <w:sz w:val="20"/>
                <w:szCs w:val="20"/>
              </w:rPr>
              <w:t>(ΕΛΣΤΑΤ, Ιουλ. 2016)</w:t>
            </w:r>
          </w:p>
          <w:p w:rsidR="00E172AB" w:rsidRDefault="00E172AB" w:rsidP="00E172AB">
            <w:r>
              <w:rPr>
                <w:noProof/>
                <w:color w:val="595959" w:themeColor="text1" w:themeTint="A6"/>
                <w:sz w:val="20"/>
                <w:szCs w:val="20"/>
              </w:rPr>
              <w:drawing>
                <wp:inline distT="0" distB="0" distL="0" distR="0">
                  <wp:extent cx="3239770" cy="1990725"/>
                  <wp:effectExtent l="0" t="0" r="0" b="9525"/>
                  <wp:docPr id="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3240003" cy="1990868"/>
                          </a:xfrm>
                          <a:prstGeom prst="rect">
                            <a:avLst/>
                          </a:prstGeom>
                          <a:noFill/>
                        </pic:spPr>
                      </pic:pic>
                    </a:graphicData>
                  </a:graphic>
                </wp:inline>
              </w:drawing>
            </w:r>
          </w:p>
          <w:p w:rsidR="004E206B" w:rsidRDefault="004E206B" w:rsidP="004E206B">
            <w:pPr>
              <w:rPr>
                <w:color w:val="7030A0"/>
                <w:sz w:val="20"/>
                <w:szCs w:val="20"/>
              </w:rPr>
            </w:pPr>
            <w:r>
              <w:rPr>
                <w:b/>
                <w:color w:val="7030A0"/>
                <w:sz w:val="20"/>
                <w:szCs w:val="20"/>
                <w:u w:val="single"/>
              </w:rPr>
              <w:t>Πίνακας</w:t>
            </w:r>
            <w:r w:rsidRPr="008D1EDD">
              <w:rPr>
                <w:b/>
                <w:color w:val="7030A0"/>
                <w:sz w:val="20"/>
                <w:szCs w:val="20"/>
                <w:u w:val="single"/>
              </w:rPr>
              <w:t xml:space="preserve"> </w:t>
            </w:r>
            <w:r w:rsidR="009A5501">
              <w:rPr>
                <w:b/>
                <w:color w:val="7030A0"/>
                <w:sz w:val="20"/>
                <w:szCs w:val="20"/>
                <w:u w:val="single"/>
              </w:rPr>
              <w:t>2</w:t>
            </w:r>
            <w:r w:rsidRPr="008D1EDD">
              <w:rPr>
                <w:b/>
                <w:color w:val="7030A0"/>
                <w:sz w:val="20"/>
                <w:szCs w:val="20"/>
              </w:rPr>
              <w:t xml:space="preserve">: </w:t>
            </w:r>
            <w:r>
              <w:rPr>
                <w:b/>
                <w:color w:val="7030A0"/>
                <w:sz w:val="20"/>
                <w:szCs w:val="20"/>
              </w:rPr>
              <w:t>Δείκτες ωρών εργασίας και αμοιβών σε βασικούς κλάδους</w:t>
            </w:r>
            <w:r w:rsidR="005E2F0C" w:rsidRPr="005E2F0C">
              <w:rPr>
                <w:b/>
                <w:color w:val="7030A0"/>
                <w:sz w:val="20"/>
                <w:szCs w:val="20"/>
              </w:rPr>
              <w:t>*</w:t>
            </w:r>
            <w:r>
              <w:rPr>
                <w:b/>
                <w:color w:val="7030A0"/>
                <w:sz w:val="20"/>
                <w:szCs w:val="20"/>
              </w:rPr>
              <w:t xml:space="preserve"> </w:t>
            </w:r>
            <w:r w:rsidRPr="008D1EDD">
              <w:rPr>
                <w:color w:val="7030A0"/>
                <w:sz w:val="20"/>
                <w:szCs w:val="20"/>
              </w:rPr>
              <w:t xml:space="preserve">(ΕΛΣΤΑΤ, </w:t>
            </w:r>
            <w:r>
              <w:rPr>
                <w:color w:val="7030A0"/>
                <w:sz w:val="20"/>
                <w:szCs w:val="20"/>
              </w:rPr>
              <w:t>Β’ 3μηνο 2016</w:t>
            </w:r>
            <w:r w:rsidRPr="008D1EDD">
              <w:rPr>
                <w:color w:val="7030A0"/>
                <w:sz w:val="20"/>
                <w:szCs w:val="20"/>
              </w:rPr>
              <w:t>)</w:t>
            </w:r>
          </w:p>
          <w:tbl>
            <w:tblPr>
              <w:tblStyle w:val="ListTable2Accent1"/>
              <w:tblW w:w="4992" w:type="dxa"/>
              <w:tblLayout w:type="fixed"/>
              <w:tblLook w:val="04A0" w:firstRow="1" w:lastRow="0" w:firstColumn="1" w:lastColumn="0" w:noHBand="0" w:noVBand="1"/>
            </w:tblPr>
            <w:tblGrid>
              <w:gridCol w:w="2582"/>
              <w:gridCol w:w="1205"/>
              <w:gridCol w:w="1205"/>
            </w:tblGrid>
            <w:tr w:rsidR="00783704" w:rsidRPr="00783704" w:rsidTr="008925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82" w:type="dxa"/>
                  <w:shd w:val="clear" w:color="auto" w:fill="365F91" w:themeFill="accent1" w:themeFillShade="BF"/>
                  <w:noWrap/>
                  <w:vAlign w:val="center"/>
                </w:tcPr>
                <w:p w:rsidR="00783704" w:rsidRPr="00892590" w:rsidRDefault="00783704" w:rsidP="00755391">
                  <w:pPr>
                    <w:jc w:val="center"/>
                    <w:rPr>
                      <w:rFonts w:eastAsia="Times New Roman" w:cs="Times New Roman"/>
                      <w:color w:val="FFFFFF" w:themeColor="background1"/>
                      <w:sz w:val="16"/>
                      <w:szCs w:val="16"/>
                    </w:rPr>
                  </w:pPr>
                </w:p>
              </w:tc>
              <w:tc>
                <w:tcPr>
                  <w:tcW w:w="2410" w:type="dxa"/>
                  <w:gridSpan w:val="2"/>
                  <w:shd w:val="clear" w:color="auto" w:fill="365F91" w:themeFill="accent1" w:themeFillShade="BF"/>
                  <w:noWrap/>
                  <w:vAlign w:val="center"/>
                </w:tcPr>
                <w:p w:rsidR="00783704" w:rsidRPr="00892590" w:rsidRDefault="00783704" w:rsidP="0075539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892590">
                    <w:rPr>
                      <w:rFonts w:eastAsia="Times New Roman" w:cs="Times New Roman"/>
                      <w:color w:val="FFFFFF" w:themeColor="background1"/>
                      <w:sz w:val="16"/>
                      <w:szCs w:val="16"/>
                    </w:rPr>
                    <w:t xml:space="preserve">% Δ 2016 </w:t>
                  </w:r>
                  <w:r w:rsidRPr="00892590">
                    <w:rPr>
                      <w:rFonts w:eastAsia="Times New Roman" w:cs="Times New Roman"/>
                      <w:color w:val="FFFFFF" w:themeColor="background1"/>
                      <w:sz w:val="16"/>
                      <w:szCs w:val="16"/>
                      <w:lang w:val="en-US"/>
                    </w:rPr>
                    <w:t>Q</w:t>
                  </w:r>
                  <w:r w:rsidRPr="00892590">
                    <w:rPr>
                      <w:rFonts w:eastAsia="Times New Roman" w:cs="Times New Roman"/>
                      <w:color w:val="FFFFFF" w:themeColor="background1"/>
                      <w:sz w:val="16"/>
                      <w:szCs w:val="16"/>
                    </w:rPr>
                    <w:t xml:space="preserve">2 / Δ 2015 </w:t>
                  </w:r>
                  <w:r w:rsidRPr="00892590">
                    <w:rPr>
                      <w:rFonts w:eastAsia="Times New Roman" w:cs="Times New Roman"/>
                      <w:color w:val="FFFFFF" w:themeColor="background1"/>
                      <w:sz w:val="16"/>
                      <w:szCs w:val="16"/>
                      <w:lang w:val="en-US"/>
                    </w:rPr>
                    <w:t>Q</w:t>
                  </w:r>
                  <w:r w:rsidRPr="00892590">
                    <w:rPr>
                      <w:rFonts w:eastAsia="Times New Roman" w:cs="Times New Roman"/>
                      <w:color w:val="FFFFFF" w:themeColor="background1"/>
                      <w:sz w:val="16"/>
                      <w:szCs w:val="16"/>
                    </w:rPr>
                    <w:t>2</w:t>
                  </w:r>
                </w:p>
              </w:tc>
            </w:tr>
            <w:tr w:rsidR="00783704" w:rsidRPr="003A7EB6" w:rsidTr="0089259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82" w:type="dxa"/>
                  <w:shd w:val="clear" w:color="auto" w:fill="365F91" w:themeFill="accent1" w:themeFillShade="BF"/>
                  <w:noWrap/>
                  <w:vAlign w:val="center"/>
                  <w:hideMark/>
                </w:tcPr>
                <w:p w:rsidR="00783704" w:rsidRPr="00892590" w:rsidRDefault="00783704" w:rsidP="00755391">
                  <w:pPr>
                    <w:jc w:val="center"/>
                    <w:rPr>
                      <w:rFonts w:eastAsia="Times New Roman" w:cs="Times New Roman"/>
                      <w:color w:val="FFFFFF" w:themeColor="background1"/>
                      <w:sz w:val="16"/>
                      <w:szCs w:val="16"/>
                    </w:rPr>
                  </w:pPr>
                </w:p>
              </w:tc>
              <w:tc>
                <w:tcPr>
                  <w:tcW w:w="1205" w:type="dxa"/>
                  <w:shd w:val="clear" w:color="auto" w:fill="365F91" w:themeFill="accent1" w:themeFillShade="BF"/>
                  <w:noWrap/>
                  <w:vAlign w:val="center"/>
                  <w:hideMark/>
                </w:tcPr>
                <w:p w:rsidR="00783704" w:rsidRPr="00892590" w:rsidRDefault="00783704" w:rsidP="007553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16"/>
                      <w:szCs w:val="16"/>
                    </w:rPr>
                  </w:pPr>
                  <w:r w:rsidRPr="00892590">
                    <w:rPr>
                      <w:rFonts w:eastAsia="Times New Roman" w:cs="Times New Roman"/>
                      <w:b/>
                      <w:color w:val="FFFFFF" w:themeColor="background1"/>
                      <w:sz w:val="16"/>
                      <w:szCs w:val="16"/>
                    </w:rPr>
                    <w:t>Ώρες εργασίας</w:t>
                  </w:r>
                </w:p>
              </w:tc>
              <w:tc>
                <w:tcPr>
                  <w:tcW w:w="1205" w:type="dxa"/>
                  <w:shd w:val="clear" w:color="auto" w:fill="365F91" w:themeFill="accent1" w:themeFillShade="BF"/>
                  <w:noWrap/>
                  <w:vAlign w:val="center"/>
                  <w:hideMark/>
                </w:tcPr>
                <w:p w:rsidR="00783704" w:rsidRPr="00892590" w:rsidRDefault="00783704" w:rsidP="007553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16"/>
                      <w:szCs w:val="16"/>
                    </w:rPr>
                  </w:pPr>
                  <w:r w:rsidRPr="00892590">
                    <w:rPr>
                      <w:rFonts w:eastAsia="Times New Roman" w:cs="Times New Roman"/>
                      <w:b/>
                      <w:color w:val="FFFFFF" w:themeColor="background1"/>
                      <w:sz w:val="16"/>
                      <w:szCs w:val="16"/>
                    </w:rPr>
                    <w:t>Αμοιβές</w:t>
                  </w:r>
                </w:p>
              </w:tc>
            </w:tr>
            <w:tr w:rsidR="00783704" w:rsidRPr="003A7EB6" w:rsidTr="00892590">
              <w:trPr>
                <w:trHeight w:val="227"/>
              </w:trPr>
              <w:tc>
                <w:tcPr>
                  <w:cnfStyle w:val="001000000000" w:firstRow="0" w:lastRow="0" w:firstColumn="1" w:lastColumn="0" w:oddVBand="0" w:evenVBand="0" w:oddHBand="0" w:evenHBand="0" w:firstRowFirstColumn="0" w:firstRowLastColumn="0" w:lastRowFirstColumn="0" w:lastRowLastColumn="0"/>
                  <w:tcW w:w="2582" w:type="dxa"/>
                  <w:noWrap/>
                  <w:vAlign w:val="center"/>
                  <w:hideMark/>
                </w:tcPr>
                <w:p w:rsidR="00783704" w:rsidRPr="00504208" w:rsidRDefault="00783704" w:rsidP="00755391">
                  <w:pPr>
                    <w:rPr>
                      <w:rFonts w:eastAsia="Times New Roman" w:cs="Arial"/>
                      <w:color w:val="1F497D" w:themeColor="text2"/>
                      <w:sz w:val="16"/>
                      <w:szCs w:val="16"/>
                    </w:rPr>
                  </w:pPr>
                  <w:r w:rsidRPr="00504208">
                    <w:rPr>
                      <w:rFonts w:eastAsia="Times New Roman" w:cs="Arial"/>
                      <w:color w:val="1F497D" w:themeColor="text2"/>
                      <w:sz w:val="16"/>
                      <w:szCs w:val="16"/>
                    </w:rPr>
                    <w:t>Μεταποίηση</w:t>
                  </w:r>
                </w:p>
              </w:tc>
              <w:tc>
                <w:tcPr>
                  <w:tcW w:w="1205" w:type="dxa"/>
                  <w:noWrap/>
                  <w:vAlign w:val="center"/>
                  <w:hideMark/>
                </w:tcPr>
                <w:p w:rsidR="00783704" w:rsidRPr="00504208" w:rsidRDefault="00783704" w:rsidP="007553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4,2%</w:t>
                  </w:r>
                </w:p>
              </w:tc>
              <w:tc>
                <w:tcPr>
                  <w:tcW w:w="1205" w:type="dxa"/>
                  <w:noWrap/>
                  <w:vAlign w:val="center"/>
                  <w:hideMark/>
                </w:tcPr>
                <w:p w:rsidR="00783704" w:rsidRPr="00504208" w:rsidRDefault="00783704" w:rsidP="007553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3,1%</w:t>
                  </w:r>
                </w:p>
              </w:tc>
            </w:tr>
            <w:tr w:rsidR="00783704" w:rsidRPr="003A7EB6" w:rsidTr="0089259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82" w:type="dxa"/>
                  <w:noWrap/>
                  <w:vAlign w:val="center"/>
                  <w:hideMark/>
                </w:tcPr>
                <w:p w:rsidR="00783704" w:rsidRPr="00504208" w:rsidRDefault="00783704" w:rsidP="00755391">
                  <w:pPr>
                    <w:rPr>
                      <w:rFonts w:eastAsia="Times New Roman" w:cs="Arial"/>
                      <w:color w:val="1F497D" w:themeColor="text2"/>
                      <w:sz w:val="16"/>
                      <w:szCs w:val="16"/>
                    </w:rPr>
                  </w:pPr>
                  <w:r w:rsidRPr="00504208">
                    <w:rPr>
                      <w:rFonts w:eastAsia="Times New Roman" w:cs="Arial"/>
                      <w:color w:val="1F497D" w:themeColor="text2"/>
                      <w:sz w:val="16"/>
                      <w:szCs w:val="16"/>
                    </w:rPr>
                    <w:t>Κατασκευές</w:t>
                  </w:r>
                </w:p>
              </w:tc>
              <w:tc>
                <w:tcPr>
                  <w:tcW w:w="1205" w:type="dxa"/>
                  <w:noWrap/>
                  <w:vAlign w:val="center"/>
                  <w:hideMark/>
                </w:tcPr>
                <w:p w:rsidR="00783704" w:rsidRPr="00504208" w:rsidRDefault="00783704" w:rsidP="007553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14,2%</w:t>
                  </w:r>
                </w:p>
              </w:tc>
              <w:tc>
                <w:tcPr>
                  <w:tcW w:w="1205" w:type="dxa"/>
                  <w:noWrap/>
                  <w:vAlign w:val="center"/>
                  <w:hideMark/>
                </w:tcPr>
                <w:p w:rsidR="00783704" w:rsidRPr="00504208" w:rsidRDefault="00783704" w:rsidP="007553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25,6%</w:t>
                  </w:r>
                </w:p>
              </w:tc>
            </w:tr>
            <w:tr w:rsidR="00783704" w:rsidRPr="003A7EB6" w:rsidTr="00892590">
              <w:trPr>
                <w:trHeight w:val="227"/>
              </w:trPr>
              <w:tc>
                <w:tcPr>
                  <w:cnfStyle w:val="001000000000" w:firstRow="0" w:lastRow="0" w:firstColumn="1" w:lastColumn="0" w:oddVBand="0" w:evenVBand="0" w:oddHBand="0" w:evenHBand="0" w:firstRowFirstColumn="0" w:firstRowLastColumn="0" w:lastRowFirstColumn="0" w:lastRowLastColumn="0"/>
                  <w:tcW w:w="2582" w:type="dxa"/>
                  <w:noWrap/>
                  <w:vAlign w:val="center"/>
                  <w:hideMark/>
                </w:tcPr>
                <w:p w:rsidR="00783704" w:rsidRPr="00504208" w:rsidRDefault="00783704" w:rsidP="00755391">
                  <w:pPr>
                    <w:rPr>
                      <w:rFonts w:eastAsia="Times New Roman" w:cs="Arial"/>
                      <w:color w:val="1F497D" w:themeColor="text2"/>
                      <w:sz w:val="16"/>
                      <w:szCs w:val="16"/>
                    </w:rPr>
                  </w:pPr>
                  <w:r w:rsidRPr="00504208">
                    <w:rPr>
                      <w:rFonts w:eastAsia="Times New Roman" w:cs="Arial"/>
                      <w:color w:val="1F497D" w:themeColor="text2"/>
                      <w:sz w:val="16"/>
                      <w:szCs w:val="16"/>
                    </w:rPr>
                    <w:t>Μεταφορά &amp; αποθήκευση</w:t>
                  </w:r>
                </w:p>
              </w:tc>
              <w:tc>
                <w:tcPr>
                  <w:tcW w:w="1205" w:type="dxa"/>
                  <w:noWrap/>
                  <w:vAlign w:val="center"/>
                  <w:hideMark/>
                </w:tcPr>
                <w:p w:rsidR="00783704" w:rsidRPr="00504208" w:rsidRDefault="00783704" w:rsidP="007553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-0,7%</w:t>
                  </w:r>
                </w:p>
              </w:tc>
              <w:tc>
                <w:tcPr>
                  <w:tcW w:w="1205" w:type="dxa"/>
                  <w:noWrap/>
                  <w:vAlign w:val="center"/>
                  <w:hideMark/>
                </w:tcPr>
                <w:p w:rsidR="00783704" w:rsidRPr="00504208" w:rsidRDefault="00783704" w:rsidP="007553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5,3%</w:t>
                  </w:r>
                </w:p>
              </w:tc>
            </w:tr>
            <w:tr w:rsidR="00783704" w:rsidRPr="003A7EB6" w:rsidTr="0089259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82" w:type="dxa"/>
                  <w:noWrap/>
                  <w:vAlign w:val="center"/>
                  <w:hideMark/>
                </w:tcPr>
                <w:p w:rsidR="00783704" w:rsidRPr="00504208" w:rsidRDefault="00783704" w:rsidP="00755391">
                  <w:pPr>
                    <w:rPr>
                      <w:rFonts w:eastAsia="Times New Roman" w:cs="Arial"/>
                      <w:color w:val="1F497D" w:themeColor="text2"/>
                      <w:sz w:val="16"/>
                      <w:szCs w:val="16"/>
                    </w:rPr>
                  </w:pPr>
                  <w:r w:rsidRPr="00504208">
                    <w:rPr>
                      <w:rFonts w:eastAsia="Times New Roman" w:cs="Arial"/>
                      <w:color w:val="1F497D" w:themeColor="text2"/>
                      <w:sz w:val="16"/>
                      <w:szCs w:val="16"/>
                    </w:rPr>
                    <w:t>Ξενοδοχεία, εστιατόρια</w:t>
                  </w:r>
                </w:p>
              </w:tc>
              <w:tc>
                <w:tcPr>
                  <w:tcW w:w="1205" w:type="dxa"/>
                  <w:noWrap/>
                  <w:vAlign w:val="center"/>
                  <w:hideMark/>
                </w:tcPr>
                <w:p w:rsidR="00783704" w:rsidRPr="00504208" w:rsidRDefault="00783704" w:rsidP="007553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-9,3%</w:t>
                  </w:r>
                </w:p>
              </w:tc>
              <w:tc>
                <w:tcPr>
                  <w:tcW w:w="1205" w:type="dxa"/>
                  <w:noWrap/>
                  <w:vAlign w:val="center"/>
                  <w:hideMark/>
                </w:tcPr>
                <w:p w:rsidR="00783704" w:rsidRPr="00504208" w:rsidRDefault="00783704" w:rsidP="007553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0,7%</w:t>
                  </w:r>
                </w:p>
              </w:tc>
            </w:tr>
            <w:tr w:rsidR="00783704" w:rsidRPr="003A7EB6" w:rsidTr="00892590">
              <w:trPr>
                <w:trHeight w:val="227"/>
              </w:trPr>
              <w:tc>
                <w:tcPr>
                  <w:cnfStyle w:val="001000000000" w:firstRow="0" w:lastRow="0" w:firstColumn="1" w:lastColumn="0" w:oddVBand="0" w:evenVBand="0" w:oddHBand="0" w:evenHBand="0" w:firstRowFirstColumn="0" w:firstRowLastColumn="0" w:lastRowFirstColumn="0" w:lastRowLastColumn="0"/>
                  <w:tcW w:w="2582" w:type="dxa"/>
                  <w:noWrap/>
                  <w:vAlign w:val="center"/>
                  <w:hideMark/>
                </w:tcPr>
                <w:p w:rsidR="00783704" w:rsidRPr="00504208" w:rsidRDefault="00783704" w:rsidP="00755391">
                  <w:pPr>
                    <w:rPr>
                      <w:rFonts w:eastAsia="Times New Roman" w:cs="Arial"/>
                      <w:color w:val="1F497D" w:themeColor="text2"/>
                      <w:sz w:val="16"/>
                      <w:szCs w:val="16"/>
                    </w:rPr>
                  </w:pPr>
                  <w:r w:rsidRPr="00504208">
                    <w:rPr>
                      <w:rFonts w:eastAsia="Times New Roman" w:cs="Arial"/>
                      <w:color w:val="1F497D" w:themeColor="text2"/>
                      <w:sz w:val="16"/>
                      <w:szCs w:val="16"/>
                    </w:rPr>
                    <w:t>Ενημέρωση &amp; επικοινωνία</w:t>
                  </w:r>
                </w:p>
              </w:tc>
              <w:tc>
                <w:tcPr>
                  <w:tcW w:w="1205" w:type="dxa"/>
                  <w:noWrap/>
                  <w:vAlign w:val="center"/>
                  <w:hideMark/>
                </w:tcPr>
                <w:p w:rsidR="00783704" w:rsidRPr="00504208" w:rsidRDefault="00783704" w:rsidP="007553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4,4%</w:t>
                  </w:r>
                </w:p>
              </w:tc>
              <w:tc>
                <w:tcPr>
                  <w:tcW w:w="1205" w:type="dxa"/>
                  <w:noWrap/>
                  <w:vAlign w:val="center"/>
                  <w:hideMark/>
                </w:tcPr>
                <w:p w:rsidR="00783704" w:rsidRPr="00504208" w:rsidRDefault="00783704" w:rsidP="007553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1,8%</w:t>
                  </w:r>
                </w:p>
              </w:tc>
            </w:tr>
            <w:tr w:rsidR="00783704" w:rsidRPr="003A7EB6" w:rsidTr="0089259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82" w:type="dxa"/>
                  <w:noWrap/>
                  <w:vAlign w:val="center"/>
                  <w:hideMark/>
                </w:tcPr>
                <w:p w:rsidR="00783704" w:rsidRPr="00504208" w:rsidRDefault="00783704" w:rsidP="00755391">
                  <w:pPr>
                    <w:rPr>
                      <w:rFonts w:eastAsia="Times New Roman" w:cs="Arial"/>
                      <w:color w:val="1F497D" w:themeColor="text2"/>
                      <w:sz w:val="16"/>
                      <w:szCs w:val="16"/>
                    </w:rPr>
                  </w:pPr>
                  <w:r w:rsidRPr="00504208">
                    <w:rPr>
                      <w:rFonts w:eastAsia="Times New Roman" w:cs="Arial"/>
                      <w:color w:val="1F497D" w:themeColor="text2"/>
                      <w:sz w:val="16"/>
                      <w:szCs w:val="16"/>
                    </w:rPr>
                    <w:t>Ελεύθερα επαγγέλματα</w:t>
                  </w:r>
                </w:p>
              </w:tc>
              <w:tc>
                <w:tcPr>
                  <w:tcW w:w="1205" w:type="dxa"/>
                  <w:noWrap/>
                  <w:vAlign w:val="center"/>
                  <w:hideMark/>
                </w:tcPr>
                <w:p w:rsidR="00783704" w:rsidRPr="00504208" w:rsidRDefault="00783704" w:rsidP="007553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5,5%</w:t>
                  </w:r>
                </w:p>
              </w:tc>
              <w:tc>
                <w:tcPr>
                  <w:tcW w:w="1205" w:type="dxa"/>
                  <w:noWrap/>
                  <w:vAlign w:val="center"/>
                  <w:hideMark/>
                </w:tcPr>
                <w:p w:rsidR="00783704" w:rsidRPr="00504208" w:rsidRDefault="00783704" w:rsidP="007553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themeColor="text2"/>
                      <w:sz w:val="16"/>
                      <w:szCs w:val="16"/>
                    </w:rPr>
                  </w:pPr>
                  <w:r w:rsidRPr="00504208">
                    <w:rPr>
                      <w:rFonts w:eastAsia="Times New Roman" w:cs="Times New Roman"/>
                      <w:color w:val="1F497D" w:themeColor="text2"/>
                      <w:sz w:val="16"/>
                      <w:szCs w:val="16"/>
                    </w:rPr>
                    <w:t>-13,6%</w:t>
                  </w:r>
                </w:p>
              </w:tc>
            </w:tr>
          </w:tbl>
          <w:p w:rsidR="003D1569" w:rsidRDefault="001B17EF" w:rsidP="007F09F2">
            <w:pPr>
              <w:spacing w:before="80"/>
              <w:rPr>
                <w:b/>
                <w:color w:val="7030A0"/>
                <w:sz w:val="20"/>
                <w:szCs w:val="20"/>
                <w:u w:val="single"/>
              </w:rPr>
            </w:pPr>
            <w:r w:rsidRPr="003D1569">
              <w:rPr>
                <w:bCs/>
                <w:color w:val="7030A0"/>
                <w:sz w:val="16"/>
                <w:szCs w:val="16"/>
              </w:rPr>
              <w:t xml:space="preserve">* Οι δείκτες απασχόλησης, ωρών και αμοιβών εργασίας αναφέρονται στο σύνολο των απασχολουμένων, ανεξαρτήτως ιδιότητας (μισθωτοί, αυτοαπασχολούμενοι </w:t>
            </w:r>
            <w:r w:rsidR="002F4EAC" w:rsidRPr="003D1569">
              <w:rPr>
                <w:bCs/>
                <w:color w:val="7030A0"/>
                <w:sz w:val="16"/>
                <w:szCs w:val="16"/>
              </w:rPr>
              <w:t>κλπ.</w:t>
            </w:r>
            <w:r w:rsidRPr="003D1569">
              <w:rPr>
                <w:bCs/>
                <w:color w:val="7030A0"/>
                <w:sz w:val="16"/>
                <w:szCs w:val="16"/>
              </w:rPr>
              <w:t xml:space="preserve">) και ειδικότητας (διευθυντές, βοηθητικό προσωπικό </w:t>
            </w:r>
            <w:r w:rsidR="002F4EAC" w:rsidRPr="003D1569">
              <w:rPr>
                <w:bCs/>
                <w:color w:val="7030A0"/>
                <w:sz w:val="16"/>
                <w:szCs w:val="16"/>
              </w:rPr>
              <w:t>κλπ.</w:t>
            </w:r>
            <w:r w:rsidRPr="003D1569">
              <w:rPr>
                <w:bCs/>
                <w:color w:val="7030A0"/>
                <w:sz w:val="16"/>
                <w:szCs w:val="16"/>
              </w:rPr>
              <w:t>). Ως αμοιβές ορίζεται το σύνολο των μικτών αμοιβών σε χρήμα ή σε είδος που καταβάλλονται σε όλα τα άτομα που περιλαμβάνονται στη μισθολογική κατάσταση σε αντάλλαγμα της εργασίας που προσέφεραν.</w:t>
            </w:r>
          </w:p>
          <w:p w:rsidR="00892590" w:rsidRDefault="00892590" w:rsidP="007F09F2">
            <w:pPr>
              <w:spacing w:before="80"/>
              <w:rPr>
                <w:b/>
                <w:color w:val="7030A0"/>
                <w:sz w:val="20"/>
                <w:szCs w:val="20"/>
                <w:u w:val="single"/>
              </w:rPr>
            </w:pPr>
          </w:p>
          <w:p w:rsidR="00B6085D" w:rsidRPr="008D1EDD" w:rsidRDefault="00B6085D" w:rsidP="007F09F2">
            <w:pPr>
              <w:spacing w:before="80"/>
              <w:rPr>
                <w:color w:val="7030A0"/>
                <w:sz w:val="20"/>
                <w:szCs w:val="20"/>
              </w:rPr>
            </w:pPr>
            <w:r w:rsidRPr="008D1EDD">
              <w:rPr>
                <w:b/>
                <w:color w:val="7030A0"/>
                <w:sz w:val="20"/>
                <w:szCs w:val="20"/>
                <w:u w:val="single"/>
              </w:rPr>
              <w:t xml:space="preserve">Διάγραμμα </w:t>
            </w:r>
            <w:r w:rsidR="009A5501">
              <w:rPr>
                <w:b/>
                <w:color w:val="7030A0"/>
                <w:sz w:val="20"/>
                <w:szCs w:val="20"/>
                <w:u w:val="single"/>
              </w:rPr>
              <w:t>12</w:t>
            </w:r>
            <w:r w:rsidRPr="008D1EDD">
              <w:rPr>
                <w:b/>
                <w:color w:val="7030A0"/>
                <w:sz w:val="20"/>
                <w:szCs w:val="20"/>
              </w:rPr>
              <w:t xml:space="preserve">: </w:t>
            </w:r>
            <w:r w:rsidR="004E206B">
              <w:rPr>
                <w:b/>
                <w:color w:val="7030A0"/>
                <w:sz w:val="20"/>
                <w:szCs w:val="20"/>
              </w:rPr>
              <w:t>Δείκτες απασχόλησης, ωρών εργασίας και αμοιβών στη μεταποίηση</w:t>
            </w:r>
            <w:r w:rsidR="005E2F0C" w:rsidRPr="005E2F0C">
              <w:rPr>
                <w:b/>
                <w:color w:val="7030A0"/>
                <w:sz w:val="20"/>
                <w:szCs w:val="20"/>
              </w:rPr>
              <w:t>*</w:t>
            </w:r>
            <w:r w:rsidR="004E206B">
              <w:rPr>
                <w:b/>
                <w:color w:val="7030A0"/>
                <w:sz w:val="20"/>
                <w:szCs w:val="20"/>
              </w:rPr>
              <w:t xml:space="preserve"> </w:t>
            </w:r>
            <w:r w:rsidRPr="008D1EDD">
              <w:rPr>
                <w:color w:val="7030A0"/>
                <w:sz w:val="20"/>
                <w:szCs w:val="20"/>
              </w:rPr>
              <w:t xml:space="preserve">(ΕΛΣΤΑΤ, </w:t>
            </w:r>
            <w:r w:rsidR="004E206B">
              <w:rPr>
                <w:color w:val="7030A0"/>
                <w:sz w:val="20"/>
                <w:szCs w:val="20"/>
              </w:rPr>
              <w:t>Β’ 3μηνο 2016</w:t>
            </w:r>
            <w:r w:rsidRPr="008D1EDD">
              <w:rPr>
                <w:color w:val="7030A0"/>
                <w:sz w:val="20"/>
                <w:szCs w:val="20"/>
              </w:rPr>
              <w:t>)</w:t>
            </w:r>
          </w:p>
          <w:p w:rsidR="00B6085D" w:rsidRPr="00B6085D" w:rsidRDefault="00B6085D" w:rsidP="00E172AB">
            <w:pPr>
              <w:rPr>
                <w:bCs/>
                <w:color w:val="7030A0"/>
                <w:sz w:val="20"/>
                <w:szCs w:val="20"/>
              </w:rPr>
            </w:pPr>
            <w:r w:rsidRPr="00B6085D">
              <w:rPr>
                <w:bCs/>
                <w:noProof/>
                <w:color w:val="7030A0"/>
                <w:sz w:val="20"/>
                <w:szCs w:val="20"/>
              </w:rPr>
              <w:drawing>
                <wp:inline distT="0" distB="0" distL="0" distR="0">
                  <wp:extent cx="3239770"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13509"/>
                          <a:stretch/>
                        </pic:blipFill>
                        <pic:spPr bwMode="auto">
                          <a:xfrm>
                            <a:off x="0" y="0"/>
                            <a:ext cx="3240000" cy="1828930"/>
                          </a:xfrm>
                          <a:prstGeom prst="rect">
                            <a:avLst/>
                          </a:prstGeom>
                          <a:noFill/>
                          <a:ln>
                            <a:noFill/>
                          </a:ln>
                          <a:extLst>
                            <a:ext uri="{53640926-AAD7-44D8-BBD7-CCE9431645EC}">
                              <a14:shadowObscured xmlns:a14="http://schemas.microsoft.com/office/drawing/2010/main"/>
                            </a:ext>
                          </a:extLst>
                        </pic:spPr>
                      </pic:pic>
                    </a:graphicData>
                  </a:graphic>
                </wp:inline>
              </w:drawing>
            </w:r>
          </w:p>
          <w:p w:rsidR="005E2F0C" w:rsidRPr="003D1569" w:rsidRDefault="005E2F0C" w:rsidP="007F09F2">
            <w:pPr>
              <w:jc w:val="both"/>
              <w:rPr>
                <w:bCs/>
                <w:color w:val="7030A0"/>
                <w:sz w:val="16"/>
                <w:szCs w:val="16"/>
              </w:rPr>
            </w:pPr>
            <w:r w:rsidRPr="003D1569">
              <w:rPr>
                <w:bCs/>
                <w:color w:val="7030A0"/>
                <w:sz w:val="16"/>
                <w:szCs w:val="16"/>
              </w:rPr>
              <w:t xml:space="preserve">* Οι δείκτες απασχόλησης, ωρών και αμοιβών εργασίας αναφέρονται στο σύνολο των απασχολουμένων, ανεξαρτήτως ιδιότητας (μισθωτοί, αυτοαπασχολούμενοι </w:t>
            </w:r>
            <w:r w:rsidR="002F4EAC" w:rsidRPr="003D1569">
              <w:rPr>
                <w:bCs/>
                <w:color w:val="7030A0"/>
                <w:sz w:val="16"/>
                <w:szCs w:val="16"/>
              </w:rPr>
              <w:t>κλπ.</w:t>
            </w:r>
            <w:r w:rsidRPr="003D1569">
              <w:rPr>
                <w:bCs/>
                <w:color w:val="7030A0"/>
                <w:sz w:val="16"/>
                <w:szCs w:val="16"/>
              </w:rPr>
              <w:t xml:space="preserve">) και ειδικότητας (διευθυντές, βοηθητικό προσωπικό </w:t>
            </w:r>
            <w:r w:rsidR="002F4EAC" w:rsidRPr="003D1569">
              <w:rPr>
                <w:bCs/>
                <w:color w:val="7030A0"/>
                <w:sz w:val="16"/>
                <w:szCs w:val="16"/>
              </w:rPr>
              <w:t>κλπ.</w:t>
            </w:r>
            <w:r w:rsidRPr="003D1569">
              <w:rPr>
                <w:bCs/>
                <w:color w:val="7030A0"/>
                <w:sz w:val="16"/>
                <w:szCs w:val="16"/>
              </w:rPr>
              <w:t xml:space="preserve">). Ως αμοιβές ορίζεται το σύνολο των μικτών αμοιβών σε χρήμα ή σε είδος που καταβάλλονται σε όλα τα άτομα που περιλαμβάνονται </w:t>
            </w:r>
            <w:r w:rsidR="007F09F2" w:rsidRPr="003D1569">
              <w:rPr>
                <w:bCs/>
                <w:color w:val="7030A0"/>
                <w:sz w:val="16"/>
                <w:szCs w:val="16"/>
              </w:rPr>
              <w:t>στη μισθολογική κατάσταση σε αντάλλαγμα της εργασίας που προσέφεραν.</w:t>
            </w:r>
          </w:p>
          <w:p w:rsidR="00DA45E2" w:rsidRDefault="00DA45E2" w:rsidP="001E49F6">
            <w:pPr>
              <w:rPr>
                <w:b/>
                <w:bCs/>
                <w:color w:val="7030A0"/>
                <w:sz w:val="20"/>
                <w:szCs w:val="20"/>
                <w:u w:val="single"/>
              </w:rPr>
            </w:pPr>
          </w:p>
          <w:p w:rsidR="00BC4EC3" w:rsidRPr="00790717" w:rsidRDefault="00BC4EC3" w:rsidP="00BC4EC3">
            <w:pPr>
              <w:jc w:val="both"/>
              <w:rPr>
                <w:b/>
                <w:noProof/>
                <w:color w:val="7030A0"/>
                <w:sz w:val="20"/>
                <w:szCs w:val="20"/>
              </w:rPr>
            </w:pPr>
            <w:r w:rsidRPr="00790717">
              <w:rPr>
                <w:b/>
                <w:noProof/>
                <w:color w:val="7030A0"/>
                <w:sz w:val="20"/>
                <w:szCs w:val="20"/>
                <w:u w:val="single"/>
              </w:rPr>
              <w:t xml:space="preserve">Πίνανας </w:t>
            </w:r>
            <w:r w:rsidR="00822401">
              <w:rPr>
                <w:b/>
                <w:noProof/>
                <w:color w:val="7030A0"/>
                <w:sz w:val="20"/>
                <w:szCs w:val="20"/>
                <w:u w:val="single"/>
              </w:rPr>
              <w:t>3</w:t>
            </w:r>
            <w:r w:rsidRPr="00790717">
              <w:rPr>
                <w:b/>
                <w:noProof/>
                <w:color w:val="7030A0"/>
                <w:sz w:val="20"/>
                <w:szCs w:val="20"/>
              </w:rPr>
              <w:t>: Προβλέψεις ΔΝΤ για την ελληνική οικονομία</w:t>
            </w:r>
          </w:p>
          <w:p w:rsidR="00BC4EC3" w:rsidRDefault="00BC4EC3" w:rsidP="00BC4EC3">
            <w:pPr>
              <w:jc w:val="both"/>
              <w:rPr>
                <w:noProof/>
                <w:color w:val="7030A0"/>
                <w:sz w:val="20"/>
                <w:szCs w:val="20"/>
                <w:lang w:val="en-US"/>
              </w:rPr>
            </w:pPr>
            <w:r w:rsidRPr="00790717">
              <w:rPr>
                <w:noProof/>
                <w:color w:val="7030A0"/>
                <w:sz w:val="20"/>
                <w:szCs w:val="20"/>
                <w:lang w:val="en-US"/>
              </w:rPr>
              <w:t>(</w:t>
            </w:r>
            <w:r w:rsidRPr="00790717">
              <w:rPr>
                <w:noProof/>
                <w:color w:val="7030A0"/>
                <w:sz w:val="20"/>
                <w:szCs w:val="20"/>
              </w:rPr>
              <w:t>ΔΝΤ</w:t>
            </w:r>
            <w:r w:rsidRPr="00790717">
              <w:rPr>
                <w:noProof/>
                <w:color w:val="7030A0"/>
                <w:sz w:val="20"/>
                <w:szCs w:val="20"/>
                <w:lang w:val="en-US"/>
              </w:rPr>
              <w:t xml:space="preserve">,  </w:t>
            </w:r>
            <w:hyperlink r:id="rId34" w:history="1">
              <w:r w:rsidRPr="00790717">
                <w:rPr>
                  <w:rStyle w:val="-"/>
                  <w:noProof/>
                  <w:color w:val="7030A0"/>
                  <w:sz w:val="20"/>
                  <w:szCs w:val="20"/>
                  <w:lang w:val="en-US"/>
                </w:rPr>
                <w:t>World Economic Outlook</w:t>
              </w:r>
            </w:hyperlink>
            <w:r w:rsidRPr="00790717">
              <w:rPr>
                <w:noProof/>
                <w:color w:val="7030A0"/>
                <w:sz w:val="20"/>
                <w:szCs w:val="20"/>
                <w:lang w:val="en-US"/>
              </w:rPr>
              <w:t xml:space="preserve">, </w:t>
            </w:r>
            <w:r w:rsidRPr="00790717">
              <w:rPr>
                <w:noProof/>
                <w:color w:val="7030A0"/>
                <w:sz w:val="20"/>
                <w:szCs w:val="20"/>
              </w:rPr>
              <w:t>Οκτ</w:t>
            </w:r>
            <w:r w:rsidRPr="00790717">
              <w:rPr>
                <w:noProof/>
                <w:color w:val="7030A0"/>
                <w:sz w:val="20"/>
                <w:szCs w:val="20"/>
                <w:lang w:val="en-US"/>
              </w:rPr>
              <w:t>. 2016)</w:t>
            </w:r>
          </w:p>
          <w:tbl>
            <w:tblPr>
              <w:tblStyle w:val="ListTable4Accent5"/>
              <w:tblW w:w="0" w:type="auto"/>
              <w:tblLayout w:type="fixed"/>
              <w:tblLook w:val="04A0" w:firstRow="1" w:lastRow="0" w:firstColumn="1" w:lastColumn="0" w:noHBand="0" w:noVBand="1"/>
            </w:tblPr>
            <w:tblGrid>
              <w:gridCol w:w="1271"/>
              <w:gridCol w:w="567"/>
              <w:gridCol w:w="567"/>
              <w:gridCol w:w="567"/>
              <w:gridCol w:w="567"/>
              <w:gridCol w:w="500"/>
              <w:gridCol w:w="500"/>
              <w:gridCol w:w="500"/>
            </w:tblGrid>
            <w:tr w:rsidR="00BC4EC3" w:rsidRPr="00BC4EC3" w:rsidTr="008925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shd w:val="clear" w:color="auto" w:fill="365F91" w:themeFill="accent1" w:themeFillShade="BF"/>
                  <w:tcMar>
                    <w:left w:w="0" w:type="dxa"/>
                    <w:right w:w="28" w:type="dxa"/>
                  </w:tcMar>
                  <w:vAlign w:val="bottom"/>
                </w:tcPr>
                <w:p w:rsidR="00BC4EC3" w:rsidRPr="00BC4EC3" w:rsidRDefault="00BC4EC3" w:rsidP="00BC4EC3">
                  <w:pPr>
                    <w:jc w:val="right"/>
                    <w:rPr>
                      <w:b w:val="0"/>
                      <w:i/>
                      <w:noProof/>
                      <w:sz w:val="16"/>
                      <w:szCs w:val="16"/>
                      <w:lang w:val="en-US"/>
                    </w:rPr>
                  </w:pPr>
                </w:p>
              </w:tc>
              <w:tc>
                <w:tcPr>
                  <w:tcW w:w="567" w:type="dxa"/>
                  <w:shd w:val="clear" w:color="auto" w:fill="365F91" w:themeFill="accent1" w:themeFillShade="BF"/>
                  <w:tcMar>
                    <w:left w:w="0" w:type="dxa"/>
                    <w:right w:w="28" w:type="dxa"/>
                  </w:tcMar>
                  <w:vAlign w:val="center"/>
                </w:tcPr>
                <w:p w:rsidR="00BC4EC3" w:rsidRPr="00BC4EC3" w:rsidRDefault="00BC4EC3" w:rsidP="00BC4EC3">
                  <w:pPr>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BC4EC3">
                    <w:rPr>
                      <w:noProof/>
                      <w:sz w:val="16"/>
                      <w:szCs w:val="16"/>
                    </w:rPr>
                    <w:t>2014</w:t>
                  </w:r>
                </w:p>
              </w:tc>
              <w:tc>
                <w:tcPr>
                  <w:tcW w:w="567" w:type="dxa"/>
                  <w:shd w:val="clear" w:color="auto" w:fill="365F91" w:themeFill="accent1" w:themeFillShade="BF"/>
                  <w:tcMar>
                    <w:left w:w="0" w:type="dxa"/>
                    <w:right w:w="28" w:type="dxa"/>
                  </w:tcMar>
                  <w:vAlign w:val="center"/>
                </w:tcPr>
                <w:p w:rsidR="00BC4EC3" w:rsidRPr="00BC4EC3"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C4EC3">
                    <w:rPr>
                      <w:noProof/>
                      <w:sz w:val="16"/>
                      <w:szCs w:val="16"/>
                    </w:rPr>
                    <w:t>2015</w:t>
                  </w:r>
                </w:p>
              </w:tc>
              <w:tc>
                <w:tcPr>
                  <w:tcW w:w="567" w:type="dxa"/>
                  <w:shd w:val="clear" w:color="auto" w:fill="365F91" w:themeFill="accent1" w:themeFillShade="BF"/>
                  <w:tcMar>
                    <w:left w:w="0" w:type="dxa"/>
                    <w:right w:w="28" w:type="dxa"/>
                  </w:tcMar>
                  <w:vAlign w:val="center"/>
                </w:tcPr>
                <w:p w:rsidR="00BC4EC3" w:rsidRPr="00BC4EC3"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C4EC3">
                    <w:rPr>
                      <w:noProof/>
                      <w:sz w:val="16"/>
                      <w:szCs w:val="16"/>
                    </w:rPr>
                    <w:t>2016</w:t>
                  </w:r>
                </w:p>
              </w:tc>
              <w:tc>
                <w:tcPr>
                  <w:tcW w:w="567" w:type="dxa"/>
                  <w:shd w:val="clear" w:color="auto" w:fill="365F91" w:themeFill="accent1" w:themeFillShade="BF"/>
                  <w:tcMar>
                    <w:left w:w="0" w:type="dxa"/>
                    <w:right w:w="28" w:type="dxa"/>
                  </w:tcMar>
                  <w:vAlign w:val="center"/>
                </w:tcPr>
                <w:p w:rsidR="00BC4EC3" w:rsidRPr="00BC4EC3"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C4EC3">
                    <w:rPr>
                      <w:noProof/>
                      <w:sz w:val="16"/>
                      <w:szCs w:val="16"/>
                    </w:rPr>
                    <w:t>2017</w:t>
                  </w:r>
                </w:p>
              </w:tc>
              <w:tc>
                <w:tcPr>
                  <w:tcW w:w="500" w:type="dxa"/>
                  <w:tcBorders>
                    <w:right w:val="single" w:sz="4" w:space="0" w:color="4F81BD" w:themeColor="accent1"/>
                  </w:tcBorders>
                  <w:shd w:val="clear" w:color="auto" w:fill="365F91" w:themeFill="accent1" w:themeFillShade="BF"/>
                  <w:tcMar>
                    <w:left w:w="0" w:type="dxa"/>
                    <w:right w:w="28" w:type="dxa"/>
                  </w:tcMar>
                  <w:vAlign w:val="center"/>
                </w:tcPr>
                <w:p w:rsidR="00BC4EC3" w:rsidRPr="00BC4EC3"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C4EC3">
                    <w:rPr>
                      <w:noProof/>
                      <w:sz w:val="16"/>
                      <w:szCs w:val="16"/>
                    </w:rPr>
                    <w:t>2021</w:t>
                  </w:r>
                </w:p>
              </w:tc>
              <w:tc>
                <w:tcPr>
                  <w:tcW w:w="500" w:type="dxa"/>
                  <w:tcBorders>
                    <w:left w:val="single" w:sz="4" w:space="0" w:color="4F81BD" w:themeColor="accent1"/>
                  </w:tcBorders>
                  <w:shd w:val="clear" w:color="auto" w:fill="365F91" w:themeFill="accent1" w:themeFillShade="BF"/>
                  <w:tcMar>
                    <w:left w:w="0" w:type="dxa"/>
                    <w:right w:w="28" w:type="dxa"/>
                  </w:tcMar>
                  <w:vAlign w:val="center"/>
                </w:tcPr>
                <w:p w:rsidR="00BC4EC3" w:rsidRPr="00BC4EC3"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C4EC3">
                    <w:rPr>
                      <w:noProof/>
                      <w:sz w:val="16"/>
                      <w:szCs w:val="16"/>
                    </w:rPr>
                    <w:t xml:space="preserve">2016 </w:t>
                  </w:r>
                  <w:r w:rsidRPr="00BC4EC3">
                    <w:rPr>
                      <w:noProof/>
                      <w:sz w:val="16"/>
                      <w:szCs w:val="16"/>
                      <w:lang w:val="en-US"/>
                    </w:rPr>
                    <w:t>Q</w:t>
                  </w:r>
                  <w:r w:rsidRPr="00BC4EC3">
                    <w:rPr>
                      <w:noProof/>
                      <w:sz w:val="16"/>
                      <w:szCs w:val="16"/>
                    </w:rPr>
                    <w:t>4</w:t>
                  </w:r>
                </w:p>
              </w:tc>
              <w:tc>
                <w:tcPr>
                  <w:tcW w:w="500" w:type="dxa"/>
                  <w:shd w:val="clear" w:color="auto" w:fill="365F91" w:themeFill="accent1" w:themeFillShade="BF"/>
                  <w:tcMar>
                    <w:left w:w="0" w:type="dxa"/>
                    <w:right w:w="28" w:type="dxa"/>
                  </w:tcMar>
                  <w:vAlign w:val="center"/>
                </w:tcPr>
                <w:p w:rsidR="00BC4EC3" w:rsidRPr="00BC4EC3"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C4EC3">
                    <w:rPr>
                      <w:noProof/>
                      <w:sz w:val="16"/>
                      <w:szCs w:val="16"/>
                    </w:rPr>
                    <w:t xml:space="preserve">2017 </w:t>
                  </w:r>
                  <w:r w:rsidRPr="00BC4EC3">
                    <w:rPr>
                      <w:noProof/>
                      <w:sz w:val="16"/>
                      <w:szCs w:val="16"/>
                      <w:lang w:val="en-US"/>
                    </w:rPr>
                    <w:t>Q</w:t>
                  </w:r>
                  <w:r w:rsidRPr="00BC4EC3">
                    <w:rPr>
                      <w:noProof/>
                      <w:sz w:val="16"/>
                      <w:szCs w:val="16"/>
                    </w:rPr>
                    <w:t>4</w:t>
                  </w:r>
                </w:p>
              </w:tc>
            </w:tr>
            <w:tr w:rsidR="00BC4EC3" w:rsidRPr="00BC4EC3" w:rsidTr="0089259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tcMar>
                    <w:left w:w="0" w:type="dxa"/>
                    <w:right w:w="28" w:type="dxa"/>
                  </w:tcMar>
                </w:tcPr>
                <w:p w:rsidR="00BC4EC3" w:rsidRPr="00BC4EC3" w:rsidRDefault="00BC4EC3" w:rsidP="00BC4EC3">
                  <w:pPr>
                    <w:rPr>
                      <w:noProof/>
                      <w:color w:val="1F497D" w:themeColor="text2"/>
                      <w:sz w:val="16"/>
                      <w:szCs w:val="16"/>
                    </w:rPr>
                  </w:pPr>
                  <w:r w:rsidRPr="00BC4EC3">
                    <w:rPr>
                      <w:noProof/>
                      <w:color w:val="1F497D" w:themeColor="text2"/>
                      <w:sz w:val="16"/>
                      <w:szCs w:val="16"/>
                    </w:rPr>
                    <w:t>ΑΕΠ</w:t>
                  </w:r>
                </w:p>
              </w:tc>
              <w:tc>
                <w:tcPr>
                  <w:tcW w:w="567"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0,7%</w:t>
                  </w:r>
                </w:p>
              </w:tc>
              <w:tc>
                <w:tcPr>
                  <w:tcW w:w="567"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-0,2%</w:t>
                  </w:r>
                </w:p>
              </w:tc>
              <w:tc>
                <w:tcPr>
                  <w:tcW w:w="567"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0,1%</w:t>
                  </w:r>
                </w:p>
              </w:tc>
              <w:tc>
                <w:tcPr>
                  <w:tcW w:w="567"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2,8%</w:t>
                  </w:r>
                </w:p>
              </w:tc>
              <w:tc>
                <w:tcPr>
                  <w:tcW w:w="500" w:type="dxa"/>
                  <w:tcBorders>
                    <w:right w:val="single" w:sz="4" w:space="0" w:color="4F81BD" w:themeColor="accent1"/>
                  </w:tcBorders>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1,8%</w:t>
                  </w:r>
                </w:p>
              </w:tc>
              <w:tc>
                <w:tcPr>
                  <w:tcW w:w="500" w:type="dxa"/>
                  <w:tcBorders>
                    <w:left w:val="single" w:sz="4" w:space="0" w:color="4F81BD" w:themeColor="accent1"/>
                  </w:tcBorders>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0,7%</w:t>
                  </w:r>
                </w:p>
              </w:tc>
              <w:tc>
                <w:tcPr>
                  <w:tcW w:w="500"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3,7%</w:t>
                  </w:r>
                </w:p>
              </w:tc>
            </w:tr>
            <w:tr w:rsidR="00BC4EC3" w:rsidRPr="00BC4EC3" w:rsidTr="00892590">
              <w:trPr>
                <w:trHeight w:val="227"/>
              </w:trPr>
              <w:tc>
                <w:tcPr>
                  <w:cnfStyle w:val="001000000000" w:firstRow="0" w:lastRow="0" w:firstColumn="1" w:lastColumn="0" w:oddVBand="0" w:evenVBand="0" w:oddHBand="0" w:evenHBand="0" w:firstRowFirstColumn="0" w:firstRowLastColumn="0" w:lastRowFirstColumn="0" w:lastRowLastColumn="0"/>
                  <w:tcW w:w="1271" w:type="dxa"/>
                  <w:tcMar>
                    <w:left w:w="0" w:type="dxa"/>
                    <w:right w:w="28" w:type="dxa"/>
                  </w:tcMar>
                </w:tcPr>
                <w:p w:rsidR="00BC4EC3" w:rsidRPr="00BC4EC3" w:rsidRDefault="00BC4EC3" w:rsidP="00BC4EC3">
                  <w:pPr>
                    <w:rPr>
                      <w:noProof/>
                      <w:color w:val="1F497D" w:themeColor="text2"/>
                      <w:sz w:val="16"/>
                      <w:szCs w:val="16"/>
                    </w:rPr>
                  </w:pPr>
                  <w:r w:rsidRPr="00BC4EC3">
                    <w:rPr>
                      <w:noProof/>
                      <w:color w:val="1F497D" w:themeColor="text2"/>
                      <w:sz w:val="16"/>
                      <w:szCs w:val="16"/>
                    </w:rPr>
                    <w:t>Τιμές καταναλωτή</w:t>
                  </w:r>
                </w:p>
              </w:tc>
              <w:tc>
                <w:tcPr>
                  <w:tcW w:w="567" w:type="dxa"/>
                  <w:tcMar>
                    <w:left w:w="0"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-1,4%</w:t>
                  </w:r>
                </w:p>
              </w:tc>
              <w:tc>
                <w:tcPr>
                  <w:tcW w:w="567" w:type="dxa"/>
                  <w:tcMar>
                    <w:left w:w="0"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-1,1%</w:t>
                  </w:r>
                </w:p>
              </w:tc>
              <w:tc>
                <w:tcPr>
                  <w:tcW w:w="567" w:type="dxa"/>
                  <w:tcMar>
                    <w:left w:w="0"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-0,1%</w:t>
                  </w:r>
                </w:p>
              </w:tc>
              <w:tc>
                <w:tcPr>
                  <w:tcW w:w="567" w:type="dxa"/>
                  <w:tcMar>
                    <w:left w:w="0"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0,6%</w:t>
                  </w:r>
                </w:p>
              </w:tc>
              <w:tc>
                <w:tcPr>
                  <w:tcW w:w="500" w:type="dxa"/>
                  <w:tcBorders>
                    <w:right w:val="single" w:sz="4" w:space="0" w:color="4F81BD" w:themeColor="accent1"/>
                  </w:tcBorders>
                  <w:tcMar>
                    <w:left w:w="0"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1,8%</w:t>
                  </w:r>
                </w:p>
              </w:tc>
              <w:tc>
                <w:tcPr>
                  <w:tcW w:w="500" w:type="dxa"/>
                  <w:tcBorders>
                    <w:left w:val="single" w:sz="4" w:space="0" w:color="4F81BD" w:themeColor="accent1"/>
                  </w:tcBorders>
                  <w:tcMar>
                    <w:left w:w="0"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p>
              </w:tc>
              <w:tc>
                <w:tcPr>
                  <w:tcW w:w="500" w:type="dxa"/>
                  <w:tcMar>
                    <w:left w:w="0"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p>
              </w:tc>
            </w:tr>
            <w:tr w:rsidR="00BC4EC3" w:rsidRPr="00BC4EC3" w:rsidTr="0089259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tcMar>
                    <w:left w:w="0" w:type="dxa"/>
                    <w:right w:w="28" w:type="dxa"/>
                  </w:tcMar>
                </w:tcPr>
                <w:p w:rsidR="00BC4EC3" w:rsidRPr="00BC4EC3" w:rsidRDefault="00BC4EC3" w:rsidP="00BC4EC3">
                  <w:pPr>
                    <w:rPr>
                      <w:noProof/>
                      <w:color w:val="1F497D" w:themeColor="text2"/>
                      <w:sz w:val="16"/>
                      <w:szCs w:val="16"/>
                    </w:rPr>
                  </w:pPr>
                  <w:r w:rsidRPr="00BC4EC3">
                    <w:rPr>
                      <w:noProof/>
                      <w:color w:val="1F497D" w:themeColor="text2"/>
                      <w:sz w:val="16"/>
                      <w:szCs w:val="16"/>
                    </w:rPr>
                    <w:t>Ανεργία</w:t>
                  </w:r>
                </w:p>
              </w:tc>
              <w:tc>
                <w:tcPr>
                  <w:tcW w:w="567"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26,5%</w:t>
                  </w:r>
                </w:p>
              </w:tc>
              <w:tc>
                <w:tcPr>
                  <w:tcW w:w="567"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25,0%</w:t>
                  </w:r>
                </w:p>
              </w:tc>
              <w:tc>
                <w:tcPr>
                  <w:tcW w:w="567"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23,3%</w:t>
                  </w:r>
                </w:p>
              </w:tc>
              <w:tc>
                <w:tcPr>
                  <w:tcW w:w="567"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21,1%</w:t>
                  </w:r>
                </w:p>
              </w:tc>
              <w:tc>
                <w:tcPr>
                  <w:tcW w:w="500" w:type="dxa"/>
                  <w:tcBorders>
                    <w:right w:val="single" w:sz="4" w:space="0" w:color="4F81BD" w:themeColor="accent1"/>
                  </w:tcBorders>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p>
              </w:tc>
              <w:tc>
                <w:tcPr>
                  <w:tcW w:w="500" w:type="dxa"/>
                  <w:tcBorders>
                    <w:left w:val="single" w:sz="4" w:space="0" w:color="4F81BD" w:themeColor="accent1"/>
                  </w:tcBorders>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p>
              </w:tc>
              <w:tc>
                <w:tcPr>
                  <w:tcW w:w="500" w:type="dxa"/>
                  <w:tcMar>
                    <w:left w:w="0"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p>
              </w:tc>
            </w:tr>
          </w:tbl>
          <w:p w:rsidR="00BC4EC3" w:rsidRPr="00730A19" w:rsidRDefault="00BC4EC3" w:rsidP="00BC4EC3">
            <w:pPr>
              <w:jc w:val="both"/>
              <w:rPr>
                <w:noProof/>
                <w:color w:val="595959" w:themeColor="text1" w:themeTint="A6"/>
                <w:sz w:val="20"/>
                <w:szCs w:val="20"/>
              </w:rPr>
            </w:pPr>
          </w:p>
          <w:p w:rsidR="00892590" w:rsidRDefault="00892590" w:rsidP="00BC4EC3">
            <w:pPr>
              <w:jc w:val="both"/>
              <w:rPr>
                <w:b/>
                <w:noProof/>
                <w:color w:val="7030A0"/>
                <w:sz w:val="20"/>
                <w:szCs w:val="20"/>
                <w:u w:val="single"/>
              </w:rPr>
            </w:pPr>
          </w:p>
          <w:p w:rsidR="00BC4EC3" w:rsidRPr="00BC4EC3" w:rsidRDefault="00BC4EC3" w:rsidP="00BC4EC3">
            <w:pPr>
              <w:jc w:val="both"/>
              <w:rPr>
                <w:noProof/>
                <w:color w:val="7030A0"/>
                <w:sz w:val="20"/>
                <w:szCs w:val="20"/>
                <w:lang w:val="en-US"/>
              </w:rPr>
            </w:pPr>
            <w:r w:rsidRPr="00BC4EC3">
              <w:rPr>
                <w:b/>
                <w:noProof/>
                <w:color w:val="7030A0"/>
                <w:sz w:val="20"/>
                <w:szCs w:val="20"/>
                <w:u w:val="single"/>
              </w:rPr>
              <w:t xml:space="preserve">Πίνανας </w:t>
            </w:r>
            <w:r w:rsidR="00822401">
              <w:rPr>
                <w:b/>
                <w:noProof/>
                <w:color w:val="7030A0"/>
                <w:sz w:val="20"/>
                <w:szCs w:val="20"/>
                <w:u w:val="single"/>
              </w:rPr>
              <w:t>4</w:t>
            </w:r>
            <w:r w:rsidRPr="00BC4EC3">
              <w:rPr>
                <w:b/>
                <w:noProof/>
                <w:color w:val="7030A0"/>
                <w:sz w:val="20"/>
                <w:szCs w:val="20"/>
              </w:rPr>
              <w:t xml:space="preserve">: Αποκλίσεις προβλέψεων για το πρωτογενές πλεόνασμα Γενικής Κυβέρνησης </w:t>
            </w:r>
            <w:r w:rsidRPr="00BC4EC3">
              <w:rPr>
                <w:noProof/>
                <w:color w:val="7030A0"/>
                <w:sz w:val="20"/>
                <w:szCs w:val="20"/>
              </w:rPr>
              <w:t xml:space="preserve">(ΔΝΤ, </w:t>
            </w:r>
            <w:hyperlink r:id="rId35" w:history="1">
              <w:r w:rsidRPr="00BC4EC3">
                <w:rPr>
                  <w:rStyle w:val="-"/>
                  <w:noProof/>
                  <w:color w:val="7030A0"/>
                  <w:sz w:val="20"/>
                  <w:szCs w:val="20"/>
                  <w:lang w:val="en-US"/>
                </w:rPr>
                <w:t>Fiscal</w:t>
              </w:r>
              <w:r w:rsidRPr="00BC4EC3">
                <w:rPr>
                  <w:rStyle w:val="-"/>
                  <w:noProof/>
                  <w:color w:val="7030A0"/>
                  <w:sz w:val="20"/>
                  <w:szCs w:val="20"/>
                </w:rPr>
                <w:t xml:space="preserve"> </w:t>
              </w:r>
              <w:r w:rsidRPr="00BC4EC3">
                <w:rPr>
                  <w:rStyle w:val="-"/>
                  <w:noProof/>
                  <w:color w:val="7030A0"/>
                  <w:sz w:val="20"/>
                  <w:szCs w:val="20"/>
                  <w:lang w:val="en-US"/>
                </w:rPr>
                <w:t>Monitor</w:t>
              </w:r>
            </w:hyperlink>
            <w:hyperlink r:id="rId36" w:history="1"/>
            <w:r w:rsidRPr="00BC4EC3">
              <w:rPr>
                <w:noProof/>
                <w:color w:val="7030A0"/>
                <w:sz w:val="20"/>
                <w:szCs w:val="20"/>
              </w:rPr>
              <w:t xml:space="preserve">, Οκτ. 2016, Υπ.Οικ. </w:t>
            </w:r>
            <w:hyperlink r:id="rId37" w:history="1">
              <w:r w:rsidRPr="00BC4EC3">
                <w:rPr>
                  <w:rStyle w:val="-"/>
                  <w:noProof/>
                  <w:color w:val="7030A0"/>
                  <w:sz w:val="20"/>
                  <w:szCs w:val="20"/>
                </w:rPr>
                <w:t>Προσχεδιο</w:t>
              </w:r>
              <w:r w:rsidRPr="00BC4EC3">
                <w:rPr>
                  <w:rStyle w:val="-"/>
                  <w:noProof/>
                  <w:color w:val="7030A0"/>
                  <w:sz w:val="20"/>
                  <w:szCs w:val="20"/>
                  <w:lang w:val="en-US"/>
                </w:rPr>
                <w:t xml:space="preserve"> </w:t>
              </w:r>
              <w:r w:rsidRPr="00BC4EC3">
                <w:rPr>
                  <w:rStyle w:val="-"/>
                  <w:noProof/>
                  <w:color w:val="7030A0"/>
                  <w:sz w:val="20"/>
                  <w:szCs w:val="20"/>
                </w:rPr>
                <w:t>Προϋπολογισμού</w:t>
              </w:r>
              <w:r w:rsidRPr="00BC4EC3">
                <w:rPr>
                  <w:rStyle w:val="-"/>
                  <w:noProof/>
                  <w:color w:val="7030A0"/>
                  <w:sz w:val="20"/>
                  <w:szCs w:val="20"/>
                  <w:lang w:val="en-US"/>
                </w:rPr>
                <w:t xml:space="preserve"> 2017</w:t>
              </w:r>
            </w:hyperlink>
            <w:r w:rsidRPr="00BC4EC3">
              <w:rPr>
                <w:noProof/>
                <w:color w:val="7030A0"/>
                <w:sz w:val="20"/>
                <w:szCs w:val="20"/>
                <w:lang w:val="en-US"/>
              </w:rPr>
              <w:t xml:space="preserve">, </w:t>
            </w:r>
            <w:r w:rsidRPr="00BC4EC3">
              <w:rPr>
                <w:noProof/>
                <w:color w:val="7030A0"/>
                <w:sz w:val="20"/>
                <w:szCs w:val="20"/>
              </w:rPr>
              <w:t>Οκτ</w:t>
            </w:r>
            <w:r w:rsidRPr="00BC4EC3">
              <w:rPr>
                <w:noProof/>
                <w:color w:val="7030A0"/>
                <w:sz w:val="20"/>
                <w:szCs w:val="20"/>
                <w:lang w:val="en-US"/>
              </w:rPr>
              <w:t xml:space="preserve">. 2016, </w:t>
            </w:r>
            <w:r w:rsidRPr="00BC4EC3">
              <w:rPr>
                <w:noProof/>
                <w:color w:val="7030A0"/>
                <w:sz w:val="20"/>
                <w:szCs w:val="20"/>
              </w:rPr>
              <w:t>ΕΕ</w:t>
            </w:r>
            <w:r w:rsidRPr="00BC4EC3">
              <w:rPr>
                <w:noProof/>
                <w:color w:val="7030A0"/>
                <w:sz w:val="20"/>
                <w:szCs w:val="20"/>
                <w:lang w:val="en-US"/>
              </w:rPr>
              <w:t xml:space="preserve">, </w:t>
            </w:r>
            <w:hyperlink r:id="rId38" w:history="1">
              <w:r w:rsidRPr="00BC4EC3">
                <w:rPr>
                  <w:rStyle w:val="-"/>
                  <w:noProof/>
                  <w:color w:val="7030A0"/>
                  <w:sz w:val="20"/>
                  <w:szCs w:val="20"/>
                  <w:lang w:val="en-US"/>
                </w:rPr>
                <w:t>1</w:t>
              </w:r>
              <w:r w:rsidRPr="00BC4EC3">
                <w:rPr>
                  <w:rStyle w:val="-"/>
                  <w:noProof/>
                  <w:color w:val="7030A0"/>
                  <w:sz w:val="20"/>
                  <w:szCs w:val="20"/>
                  <w:vertAlign w:val="superscript"/>
                  <w:lang w:val="en-US"/>
                </w:rPr>
                <w:t>st</w:t>
              </w:r>
              <w:r w:rsidRPr="00BC4EC3">
                <w:rPr>
                  <w:rStyle w:val="-"/>
                  <w:noProof/>
                  <w:color w:val="7030A0"/>
                  <w:sz w:val="20"/>
                  <w:szCs w:val="20"/>
                  <w:lang w:val="en-US"/>
                </w:rPr>
                <w:t xml:space="preserve"> Review of the Third Economic Adjustment Programme for Greece</w:t>
              </w:r>
            </w:hyperlink>
            <w:r w:rsidRPr="00BC4EC3">
              <w:rPr>
                <w:noProof/>
                <w:color w:val="7030A0"/>
                <w:sz w:val="20"/>
                <w:szCs w:val="20"/>
                <w:lang w:val="en-US"/>
              </w:rPr>
              <w:t xml:space="preserve">, </w:t>
            </w:r>
            <w:r w:rsidRPr="00BC4EC3">
              <w:rPr>
                <w:noProof/>
                <w:color w:val="7030A0"/>
                <w:sz w:val="20"/>
                <w:szCs w:val="20"/>
              </w:rPr>
              <w:t>Ιουν</w:t>
            </w:r>
            <w:r w:rsidRPr="00BC4EC3">
              <w:rPr>
                <w:noProof/>
                <w:color w:val="7030A0"/>
                <w:sz w:val="20"/>
                <w:szCs w:val="20"/>
                <w:lang w:val="en-US"/>
              </w:rPr>
              <w:t xml:space="preserve"> 2016)</w:t>
            </w:r>
          </w:p>
          <w:tbl>
            <w:tblPr>
              <w:tblStyle w:val="ListTable4Accent5"/>
              <w:tblW w:w="0" w:type="auto"/>
              <w:tblLayout w:type="fixed"/>
              <w:tblLook w:val="04A0" w:firstRow="1" w:lastRow="0" w:firstColumn="1" w:lastColumn="0" w:noHBand="0" w:noVBand="1"/>
            </w:tblPr>
            <w:tblGrid>
              <w:gridCol w:w="1696"/>
              <w:gridCol w:w="567"/>
              <w:gridCol w:w="567"/>
              <w:gridCol w:w="567"/>
              <w:gridCol w:w="567"/>
              <w:gridCol w:w="567"/>
              <w:gridCol w:w="567"/>
            </w:tblGrid>
            <w:tr w:rsidR="00BC4EC3" w:rsidRPr="00B0591F" w:rsidTr="008925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6" w:type="dxa"/>
                  <w:shd w:val="clear" w:color="auto" w:fill="365F91" w:themeFill="accent1" w:themeFillShade="BF"/>
                  <w:tcMar>
                    <w:left w:w="57" w:type="dxa"/>
                    <w:right w:w="57" w:type="dxa"/>
                  </w:tcMar>
                  <w:vAlign w:val="center"/>
                </w:tcPr>
                <w:p w:rsidR="00BC4EC3" w:rsidRPr="00B0591F" w:rsidRDefault="00BC4EC3" w:rsidP="00BC4EC3">
                  <w:pPr>
                    <w:jc w:val="right"/>
                    <w:rPr>
                      <w:noProof/>
                      <w:sz w:val="16"/>
                      <w:szCs w:val="16"/>
                      <w:lang w:val="en-US"/>
                    </w:rPr>
                  </w:pPr>
                </w:p>
              </w:tc>
              <w:tc>
                <w:tcPr>
                  <w:tcW w:w="567" w:type="dxa"/>
                  <w:shd w:val="clear" w:color="auto" w:fill="365F91" w:themeFill="accent1" w:themeFillShade="BF"/>
                  <w:tcMar>
                    <w:left w:w="57" w:type="dxa"/>
                    <w:right w:w="57"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2016</w:t>
                  </w:r>
                </w:p>
              </w:tc>
              <w:tc>
                <w:tcPr>
                  <w:tcW w:w="567" w:type="dxa"/>
                  <w:shd w:val="clear" w:color="auto" w:fill="365F91" w:themeFill="accent1" w:themeFillShade="BF"/>
                  <w:tcMar>
                    <w:left w:w="57" w:type="dxa"/>
                    <w:right w:w="57"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2017</w:t>
                  </w:r>
                </w:p>
              </w:tc>
              <w:tc>
                <w:tcPr>
                  <w:tcW w:w="567" w:type="dxa"/>
                  <w:shd w:val="clear" w:color="auto" w:fill="365F91" w:themeFill="accent1" w:themeFillShade="BF"/>
                  <w:tcMar>
                    <w:left w:w="57" w:type="dxa"/>
                    <w:right w:w="57"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2018</w:t>
                  </w:r>
                </w:p>
              </w:tc>
              <w:tc>
                <w:tcPr>
                  <w:tcW w:w="567" w:type="dxa"/>
                  <w:shd w:val="clear" w:color="auto" w:fill="365F91" w:themeFill="accent1" w:themeFillShade="BF"/>
                  <w:tcMar>
                    <w:left w:w="57" w:type="dxa"/>
                    <w:right w:w="57"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2019</w:t>
                  </w:r>
                </w:p>
              </w:tc>
              <w:tc>
                <w:tcPr>
                  <w:tcW w:w="567" w:type="dxa"/>
                  <w:shd w:val="clear" w:color="auto" w:fill="365F91" w:themeFill="accent1" w:themeFillShade="BF"/>
                  <w:tcMar>
                    <w:left w:w="57" w:type="dxa"/>
                    <w:right w:w="57"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2020</w:t>
                  </w:r>
                </w:p>
              </w:tc>
              <w:tc>
                <w:tcPr>
                  <w:tcW w:w="567" w:type="dxa"/>
                  <w:shd w:val="clear" w:color="auto" w:fill="365F91" w:themeFill="accent1" w:themeFillShade="BF"/>
                  <w:tcMar>
                    <w:left w:w="57" w:type="dxa"/>
                    <w:right w:w="57" w:type="dxa"/>
                  </w:tcMa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2021</w:t>
                  </w:r>
                </w:p>
              </w:tc>
            </w:tr>
            <w:tr w:rsidR="00BC4EC3" w:rsidRPr="00B0591F" w:rsidTr="0089259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6" w:type="dxa"/>
                  <w:tcMar>
                    <w:left w:w="57" w:type="dxa"/>
                    <w:right w:w="57" w:type="dxa"/>
                  </w:tcMar>
                  <w:vAlign w:val="center"/>
                </w:tcPr>
                <w:p w:rsidR="00BC4EC3" w:rsidRPr="00BC4EC3" w:rsidRDefault="00BC4EC3" w:rsidP="00BC4EC3">
                  <w:pPr>
                    <w:rPr>
                      <w:noProof/>
                      <w:color w:val="1F497D" w:themeColor="text2"/>
                      <w:sz w:val="16"/>
                      <w:szCs w:val="16"/>
                    </w:rPr>
                  </w:pPr>
                  <w:r w:rsidRPr="00BC4EC3">
                    <w:rPr>
                      <w:noProof/>
                      <w:color w:val="1F497D" w:themeColor="text2"/>
                      <w:sz w:val="16"/>
                      <w:szCs w:val="16"/>
                    </w:rPr>
                    <w:t>Προϋπολογισμός</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1,6%</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1,8%</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3,5%</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p>
              </w:tc>
            </w:tr>
            <w:tr w:rsidR="00BC4EC3" w:rsidRPr="00B0591F" w:rsidTr="00892590">
              <w:trPr>
                <w:trHeight w:val="227"/>
              </w:trPr>
              <w:tc>
                <w:tcPr>
                  <w:cnfStyle w:val="001000000000" w:firstRow="0" w:lastRow="0" w:firstColumn="1" w:lastColumn="0" w:oddVBand="0" w:evenVBand="0" w:oddHBand="0" w:evenHBand="0" w:firstRowFirstColumn="0" w:firstRowLastColumn="0" w:lastRowFirstColumn="0" w:lastRowLastColumn="0"/>
                  <w:tcW w:w="1696" w:type="dxa"/>
                  <w:tcMar>
                    <w:left w:w="57" w:type="dxa"/>
                    <w:right w:w="57" w:type="dxa"/>
                  </w:tcMar>
                  <w:vAlign w:val="center"/>
                </w:tcPr>
                <w:p w:rsidR="00BC4EC3" w:rsidRPr="00BC4EC3" w:rsidRDefault="00BC4EC3" w:rsidP="00BC4EC3">
                  <w:pPr>
                    <w:rPr>
                      <w:noProof/>
                      <w:color w:val="1F497D" w:themeColor="text2"/>
                      <w:sz w:val="16"/>
                      <w:szCs w:val="16"/>
                    </w:rPr>
                  </w:pPr>
                  <w:r w:rsidRPr="00BC4EC3">
                    <w:rPr>
                      <w:noProof/>
                      <w:color w:val="1F497D" w:themeColor="text2"/>
                      <w:sz w:val="16"/>
                      <w:szCs w:val="16"/>
                    </w:rPr>
                    <w:t>Μνημόνιο</w:t>
                  </w:r>
                </w:p>
              </w:tc>
              <w:tc>
                <w:tcPr>
                  <w:tcW w:w="567" w:type="dxa"/>
                  <w:tcMar>
                    <w:left w:w="57" w:type="dxa"/>
                    <w:right w:w="57"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0,5%</w:t>
                  </w:r>
                </w:p>
              </w:tc>
              <w:tc>
                <w:tcPr>
                  <w:tcW w:w="567" w:type="dxa"/>
                  <w:tcMar>
                    <w:left w:w="57" w:type="dxa"/>
                    <w:right w:w="57"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1,75%</w:t>
                  </w:r>
                </w:p>
              </w:tc>
              <w:tc>
                <w:tcPr>
                  <w:tcW w:w="567" w:type="dxa"/>
                  <w:tcMar>
                    <w:left w:w="57" w:type="dxa"/>
                    <w:right w:w="57"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3,5%</w:t>
                  </w:r>
                </w:p>
              </w:tc>
              <w:tc>
                <w:tcPr>
                  <w:tcW w:w="567" w:type="dxa"/>
                  <w:tcMar>
                    <w:left w:w="57" w:type="dxa"/>
                    <w:right w:w="57"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p>
              </w:tc>
              <w:tc>
                <w:tcPr>
                  <w:tcW w:w="567" w:type="dxa"/>
                  <w:tcMar>
                    <w:left w:w="57" w:type="dxa"/>
                    <w:right w:w="57"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p>
              </w:tc>
              <w:tc>
                <w:tcPr>
                  <w:tcW w:w="567" w:type="dxa"/>
                  <w:tcMar>
                    <w:left w:w="57" w:type="dxa"/>
                    <w:right w:w="57"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p>
              </w:tc>
            </w:tr>
            <w:tr w:rsidR="00BC4EC3" w:rsidRPr="00B0591F" w:rsidTr="0089259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6" w:type="dxa"/>
                  <w:tcMar>
                    <w:left w:w="57" w:type="dxa"/>
                    <w:right w:w="57" w:type="dxa"/>
                  </w:tcMar>
                  <w:vAlign w:val="center"/>
                </w:tcPr>
                <w:p w:rsidR="00BC4EC3" w:rsidRPr="00BC4EC3" w:rsidRDefault="00BC4EC3" w:rsidP="00BC4EC3">
                  <w:pPr>
                    <w:rPr>
                      <w:noProof/>
                      <w:color w:val="1F497D" w:themeColor="text2"/>
                      <w:sz w:val="16"/>
                      <w:szCs w:val="16"/>
                    </w:rPr>
                  </w:pPr>
                  <w:r w:rsidRPr="00BC4EC3">
                    <w:rPr>
                      <w:noProof/>
                      <w:color w:val="1F497D" w:themeColor="text2"/>
                      <w:sz w:val="16"/>
                      <w:szCs w:val="16"/>
                    </w:rPr>
                    <w:t>ΔΝΤ</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0,1%</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0,7%</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1,6%</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1,6%</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1,6%</w:t>
                  </w:r>
                </w:p>
              </w:tc>
              <w:tc>
                <w:tcPr>
                  <w:tcW w:w="567" w:type="dxa"/>
                  <w:tcMar>
                    <w:left w:w="57" w:type="dxa"/>
                    <w:right w:w="57" w:type="dxa"/>
                  </w:tcMar>
                  <w:vAlign w:val="cente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1,5%</w:t>
                  </w:r>
                </w:p>
              </w:tc>
            </w:tr>
          </w:tbl>
          <w:p w:rsidR="00BC4EC3" w:rsidRPr="00BC4EC3" w:rsidRDefault="00BC4EC3" w:rsidP="00BC4EC3">
            <w:pPr>
              <w:jc w:val="both"/>
              <w:rPr>
                <w:noProof/>
                <w:color w:val="7030A0"/>
                <w:sz w:val="20"/>
                <w:szCs w:val="20"/>
              </w:rPr>
            </w:pPr>
          </w:p>
          <w:p w:rsidR="00BC4EC3" w:rsidRDefault="00BC4EC3" w:rsidP="00BC4EC3">
            <w:pPr>
              <w:jc w:val="both"/>
              <w:rPr>
                <w:b/>
                <w:noProof/>
                <w:color w:val="7030A0"/>
                <w:sz w:val="20"/>
                <w:szCs w:val="20"/>
                <w:u w:val="single"/>
              </w:rPr>
            </w:pPr>
          </w:p>
          <w:p w:rsidR="00BC4EC3" w:rsidRDefault="00BC4EC3" w:rsidP="00BC4EC3">
            <w:pPr>
              <w:jc w:val="both"/>
              <w:rPr>
                <w:b/>
                <w:noProof/>
                <w:color w:val="7030A0"/>
                <w:sz w:val="20"/>
                <w:szCs w:val="20"/>
                <w:u w:val="single"/>
              </w:rPr>
            </w:pPr>
          </w:p>
          <w:p w:rsidR="00BC4EC3" w:rsidRPr="00790717" w:rsidRDefault="00BC4EC3" w:rsidP="00BC4EC3">
            <w:pPr>
              <w:jc w:val="both"/>
              <w:rPr>
                <w:b/>
                <w:noProof/>
                <w:color w:val="7030A0"/>
                <w:sz w:val="20"/>
                <w:szCs w:val="20"/>
              </w:rPr>
            </w:pPr>
            <w:r w:rsidRPr="00790717">
              <w:rPr>
                <w:b/>
                <w:noProof/>
                <w:color w:val="7030A0"/>
                <w:sz w:val="20"/>
                <w:szCs w:val="20"/>
                <w:u w:val="single"/>
              </w:rPr>
              <w:t xml:space="preserve">Πίνανας </w:t>
            </w:r>
            <w:r w:rsidR="00822401">
              <w:rPr>
                <w:b/>
                <w:noProof/>
                <w:color w:val="7030A0"/>
                <w:sz w:val="20"/>
                <w:szCs w:val="20"/>
                <w:u w:val="single"/>
              </w:rPr>
              <w:t>5</w:t>
            </w:r>
            <w:r w:rsidRPr="00790717">
              <w:rPr>
                <w:b/>
                <w:noProof/>
                <w:color w:val="7030A0"/>
                <w:sz w:val="20"/>
                <w:szCs w:val="20"/>
              </w:rPr>
              <w:t xml:space="preserve">: Προβλέψεις ΔΝΤ για </w:t>
            </w:r>
            <w:r>
              <w:rPr>
                <w:b/>
                <w:noProof/>
                <w:color w:val="7030A0"/>
                <w:sz w:val="20"/>
                <w:szCs w:val="20"/>
              </w:rPr>
              <w:t>έσοδα, δαπάνες και χρέος της Γενικής Κυβέρνησης</w:t>
            </w:r>
          </w:p>
          <w:p w:rsidR="00BC4EC3" w:rsidRPr="00526B25" w:rsidRDefault="00BC4EC3" w:rsidP="00BC4EC3">
            <w:pPr>
              <w:jc w:val="both"/>
              <w:rPr>
                <w:noProof/>
                <w:color w:val="7030A0"/>
                <w:sz w:val="20"/>
                <w:szCs w:val="20"/>
              </w:rPr>
            </w:pPr>
            <w:r w:rsidRPr="00526B25">
              <w:rPr>
                <w:noProof/>
                <w:color w:val="7030A0"/>
                <w:sz w:val="20"/>
                <w:szCs w:val="20"/>
              </w:rPr>
              <w:lastRenderedPageBreak/>
              <w:t>(</w:t>
            </w:r>
            <w:r w:rsidRPr="00790717">
              <w:rPr>
                <w:noProof/>
                <w:color w:val="7030A0"/>
                <w:sz w:val="20"/>
                <w:szCs w:val="20"/>
              </w:rPr>
              <w:t>ΔΝΤ</w:t>
            </w:r>
            <w:r w:rsidRPr="00526B25">
              <w:rPr>
                <w:noProof/>
                <w:color w:val="7030A0"/>
                <w:sz w:val="20"/>
                <w:szCs w:val="20"/>
              </w:rPr>
              <w:t xml:space="preserve">, </w:t>
            </w:r>
            <w:hyperlink r:id="rId39" w:history="1">
              <w:r w:rsidRPr="00790717">
                <w:rPr>
                  <w:rStyle w:val="-"/>
                  <w:noProof/>
                  <w:color w:val="7030A0"/>
                  <w:sz w:val="18"/>
                  <w:szCs w:val="18"/>
                  <w:lang w:val="en-US"/>
                </w:rPr>
                <w:t>Fiscal</w:t>
              </w:r>
              <w:r w:rsidRPr="00790717">
                <w:rPr>
                  <w:rStyle w:val="-"/>
                  <w:noProof/>
                  <w:color w:val="7030A0"/>
                  <w:sz w:val="18"/>
                  <w:szCs w:val="18"/>
                </w:rPr>
                <w:t xml:space="preserve"> </w:t>
              </w:r>
              <w:r w:rsidRPr="00790717">
                <w:rPr>
                  <w:rStyle w:val="-"/>
                  <w:noProof/>
                  <w:color w:val="7030A0"/>
                  <w:sz w:val="18"/>
                  <w:szCs w:val="18"/>
                  <w:lang w:val="en-US"/>
                </w:rPr>
                <w:t>Monitor</w:t>
              </w:r>
            </w:hyperlink>
            <w:hyperlink r:id="rId40" w:history="1"/>
            <w:r w:rsidRPr="00526B25">
              <w:rPr>
                <w:noProof/>
                <w:color w:val="7030A0"/>
                <w:sz w:val="20"/>
                <w:szCs w:val="20"/>
              </w:rPr>
              <w:t xml:space="preserve">, </w:t>
            </w:r>
            <w:r w:rsidRPr="00790717">
              <w:rPr>
                <w:noProof/>
                <w:color w:val="7030A0"/>
                <w:sz w:val="20"/>
                <w:szCs w:val="20"/>
              </w:rPr>
              <w:t>Οκτ</w:t>
            </w:r>
            <w:r w:rsidRPr="00526B25">
              <w:rPr>
                <w:noProof/>
                <w:color w:val="7030A0"/>
                <w:sz w:val="20"/>
                <w:szCs w:val="20"/>
              </w:rPr>
              <w:t>. 2016)</w:t>
            </w:r>
          </w:p>
          <w:tbl>
            <w:tblPr>
              <w:tblStyle w:val="ListTable4Accent5"/>
              <w:tblW w:w="0" w:type="auto"/>
              <w:tblLayout w:type="fixed"/>
              <w:tblLook w:val="04A0" w:firstRow="1" w:lastRow="0" w:firstColumn="1" w:lastColumn="0" w:noHBand="0" w:noVBand="1"/>
            </w:tblPr>
            <w:tblGrid>
              <w:gridCol w:w="846"/>
              <w:gridCol w:w="531"/>
              <w:gridCol w:w="532"/>
              <w:gridCol w:w="531"/>
              <w:gridCol w:w="532"/>
              <w:gridCol w:w="531"/>
              <w:gridCol w:w="532"/>
              <w:gridCol w:w="531"/>
              <w:gridCol w:w="532"/>
            </w:tblGrid>
            <w:tr w:rsidR="00BC4EC3" w:rsidRPr="00B0591F" w:rsidTr="00BC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365F91" w:themeFill="accent1" w:themeFillShade="BF"/>
                  <w:tcMar>
                    <w:left w:w="28" w:type="dxa"/>
                    <w:right w:w="28" w:type="dxa"/>
                  </w:tcMar>
                  <w:vAlign w:val="center"/>
                </w:tcPr>
                <w:p w:rsidR="00BC4EC3" w:rsidRPr="00B0591F" w:rsidRDefault="00BC4EC3" w:rsidP="00BC4EC3">
                  <w:pPr>
                    <w:jc w:val="right"/>
                    <w:rPr>
                      <w:b w:val="0"/>
                      <w:i/>
                      <w:noProof/>
                      <w:sz w:val="14"/>
                      <w:szCs w:val="14"/>
                    </w:rPr>
                  </w:pPr>
                  <w:r w:rsidRPr="00B0591F">
                    <w:rPr>
                      <w:b w:val="0"/>
                      <w:i/>
                      <w:noProof/>
                      <w:sz w:val="14"/>
                      <w:szCs w:val="14"/>
                    </w:rPr>
                    <w:t>(% του ΑΕΠ)</w:t>
                  </w:r>
                </w:p>
              </w:tc>
              <w:tc>
                <w:tcPr>
                  <w:tcW w:w="531" w:type="dxa"/>
                  <w:shd w:val="clear" w:color="auto" w:fill="365F91" w:themeFill="accent1" w:themeFillShade="BF"/>
                  <w:tcMar>
                    <w:left w:w="28" w:type="dxa"/>
                    <w:right w:w="28" w:type="dxa"/>
                  </w:tcMa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4"/>
                      <w:szCs w:val="14"/>
                    </w:rPr>
                  </w:pPr>
                  <w:r w:rsidRPr="00B0591F">
                    <w:rPr>
                      <w:noProof/>
                      <w:sz w:val="14"/>
                      <w:szCs w:val="14"/>
                    </w:rPr>
                    <w:t>2014</w:t>
                  </w:r>
                </w:p>
              </w:tc>
              <w:tc>
                <w:tcPr>
                  <w:tcW w:w="532" w:type="dxa"/>
                  <w:shd w:val="clear" w:color="auto" w:fill="365F91" w:themeFill="accent1" w:themeFillShade="BF"/>
                  <w:tcMar>
                    <w:left w:w="28" w:type="dxa"/>
                    <w:right w:w="28" w:type="dxa"/>
                  </w:tcMa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4"/>
                      <w:szCs w:val="14"/>
                    </w:rPr>
                  </w:pPr>
                  <w:r w:rsidRPr="00B0591F">
                    <w:rPr>
                      <w:noProof/>
                      <w:sz w:val="14"/>
                      <w:szCs w:val="14"/>
                    </w:rPr>
                    <w:t>2015</w:t>
                  </w:r>
                </w:p>
              </w:tc>
              <w:tc>
                <w:tcPr>
                  <w:tcW w:w="531" w:type="dxa"/>
                  <w:shd w:val="clear" w:color="auto" w:fill="365F91" w:themeFill="accent1" w:themeFillShade="BF"/>
                  <w:tcMar>
                    <w:left w:w="28" w:type="dxa"/>
                    <w:right w:w="28"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4"/>
                      <w:szCs w:val="14"/>
                    </w:rPr>
                  </w:pPr>
                  <w:r w:rsidRPr="00B0591F">
                    <w:rPr>
                      <w:noProof/>
                      <w:sz w:val="14"/>
                      <w:szCs w:val="14"/>
                    </w:rPr>
                    <w:t>2016</w:t>
                  </w:r>
                </w:p>
              </w:tc>
              <w:tc>
                <w:tcPr>
                  <w:tcW w:w="532" w:type="dxa"/>
                  <w:shd w:val="clear" w:color="auto" w:fill="365F91" w:themeFill="accent1" w:themeFillShade="BF"/>
                  <w:tcMar>
                    <w:left w:w="28" w:type="dxa"/>
                    <w:right w:w="28"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4"/>
                      <w:szCs w:val="14"/>
                    </w:rPr>
                  </w:pPr>
                  <w:r w:rsidRPr="00B0591F">
                    <w:rPr>
                      <w:noProof/>
                      <w:sz w:val="14"/>
                      <w:szCs w:val="14"/>
                    </w:rPr>
                    <w:t>2017</w:t>
                  </w:r>
                </w:p>
              </w:tc>
              <w:tc>
                <w:tcPr>
                  <w:tcW w:w="531" w:type="dxa"/>
                  <w:shd w:val="clear" w:color="auto" w:fill="365F91" w:themeFill="accent1" w:themeFillShade="BF"/>
                  <w:tcMar>
                    <w:left w:w="28" w:type="dxa"/>
                    <w:right w:w="28"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4"/>
                      <w:szCs w:val="14"/>
                    </w:rPr>
                  </w:pPr>
                  <w:r w:rsidRPr="00B0591F">
                    <w:rPr>
                      <w:noProof/>
                      <w:sz w:val="14"/>
                      <w:szCs w:val="14"/>
                    </w:rPr>
                    <w:t>2018</w:t>
                  </w:r>
                </w:p>
              </w:tc>
              <w:tc>
                <w:tcPr>
                  <w:tcW w:w="532" w:type="dxa"/>
                  <w:shd w:val="clear" w:color="auto" w:fill="365F91" w:themeFill="accent1" w:themeFillShade="BF"/>
                  <w:tcMar>
                    <w:left w:w="28" w:type="dxa"/>
                    <w:right w:w="28"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4"/>
                      <w:szCs w:val="14"/>
                    </w:rPr>
                  </w:pPr>
                  <w:r w:rsidRPr="00B0591F">
                    <w:rPr>
                      <w:noProof/>
                      <w:sz w:val="14"/>
                      <w:szCs w:val="14"/>
                    </w:rPr>
                    <w:t>2019</w:t>
                  </w:r>
                </w:p>
              </w:tc>
              <w:tc>
                <w:tcPr>
                  <w:tcW w:w="531" w:type="dxa"/>
                  <w:shd w:val="clear" w:color="auto" w:fill="365F91" w:themeFill="accent1" w:themeFillShade="BF"/>
                  <w:tcMar>
                    <w:left w:w="28" w:type="dxa"/>
                    <w:right w:w="28" w:type="dxa"/>
                  </w:tcMar>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4"/>
                      <w:szCs w:val="14"/>
                    </w:rPr>
                  </w:pPr>
                  <w:r w:rsidRPr="00B0591F">
                    <w:rPr>
                      <w:noProof/>
                      <w:sz w:val="14"/>
                      <w:szCs w:val="14"/>
                    </w:rPr>
                    <w:t>2020</w:t>
                  </w:r>
                </w:p>
              </w:tc>
              <w:tc>
                <w:tcPr>
                  <w:tcW w:w="532" w:type="dxa"/>
                  <w:shd w:val="clear" w:color="auto" w:fill="365F91" w:themeFill="accent1" w:themeFillShade="BF"/>
                  <w:tcMar>
                    <w:left w:w="28" w:type="dxa"/>
                    <w:right w:w="28" w:type="dxa"/>
                  </w:tcMa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4"/>
                      <w:szCs w:val="14"/>
                    </w:rPr>
                  </w:pPr>
                  <w:r w:rsidRPr="00B0591F">
                    <w:rPr>
                      <w:noProof/>
                      <w:sz w:val="14"/>
                      <w:szCs w:val="14"/>
                    </w:rPr>
                    <w:t>2021</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Mar>
                    <w:left w:w="28" w:type="dxa"/>
                    <w:right w:w="28" w:type="dxa"/>
                  </w:tcMar>
                </w:tcPr>
                <w:p w:rsidR="00BC4EC3" w:rsidRPr="00BC4EC3" w:rsidRDefault="00BC4EC3" w:rsidP="00BC4EC3">
                  <w:pPr>
                    <w:rPr>
                      <w:noProof/>
                      <w:color w:val="1F497D" w:themeColor="text2"/>
                      <w:sz w:val="14"/>
                      <w:szCs w:val="14"/>
                    </w:rPr>
                  </w:pPr>
                  <w:r w:rsidRPr="00BC4EC3">
                    <w:rPr>
                      <w:noProof/>
                      <w:color w:val="1F497D" w:themeColor="text2"/>
                      <w:sz w:val="14"/>
                      <w:szCs w:val="14"/>
                    </w:rPr>
                    <w:t xml:space="preserve">Πλεόνασμα </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-4,1%</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-3,1%</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-3,4%</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-2,7%</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-1,7%</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-1,7%</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-2,0%</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-2,6%</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846" w:type="dxa"/>
                  <w:tcMar>
                    <w:left w:w="28" w:type="dxa"/>
                    <w:right w:w="28" w:type="dxa"/>
                  </w:tcMar>
                  <w:vAlign w:val="center"/>
                </w:tcPr>
                <w:p w:rsidR="00BC4EC3" w:rsidRPr="00BC4EC3" w:rsidRDefault="00BC4EC3" w:rsidP="00BC4EC3">
                  <w:pPr>
                    <w:rPr>
                      <w:noProof/>
                      <w:color w:val="1F497D" w:themeColor="text2"/>
                      <w:sz w:val="14"/>
                      <w:szCs w:val="14"/>
                    </w:rPr>
                  </w:pPr>
                  <w:r w:rsidRPr="00BC4EC3">
                    <w:rPr>
                      <w:noProof/>
                      <w:color w:val="1F497D" w:themeColor="text2"/>
                      <w:sz w:val="14"/>
                      <w:szCs w:val="14"/>
                    </w:rPr>
                    <w:t>Πρωτογενές πλεόνασμα</w:t>
                  </w:r>
                </w:p>
              </w:tc>
              <w:tc>
                <w:tcPr>
                  <w:tcW w:w="531"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0,0%</w:t>
                  </w:r>
                </w:p>
              </w:tc>
              <w:tc>
                <w:tcPr>
                  <w:tcW w:w="532"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0,7%</w:t>
                  </w:r>
                </w:p>
              </w:tc>
              <w:tc>
                <w:tcPr>
                  <w:tcW w:w="531"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0,1%</w:t>
                  </w:r>
                </w:p>
              </w:tc>
              <w:tc>
                <w:tcPr>
                  <w:tcW w:w="532"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0,7%</w:t>
                  </w:r>
                </w:p>
              </w:tc>
              <w:tc>
                <w:tcPr>
                  <w:tcW w:w="531"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1,6%</w:t>
                  </w:r>
                </w:p>
              </w:tc>
              <w:tc>
                <w:tcPr>
                  <w:tcW w:w="532"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1,6%</w:t>
                  </w:r>
                </w:p>
              </w:tc>
              <w:tc>
                <w:tcPr>
                  <w:tcW w:w="531"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1,6%</w:t>
                  </w:r>
                </w:p>
              </w:tc>
              <w:tc>
                <w:tcPr>
                  <w:tcW w:w="532"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1,5%</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Mar>
                    <w:left w:w="28" w:type="dxa"/>
                    <w:right w:w="28" w:type="dxa"/>
                  </w:tcMar>
                </w:tcPr>
                <w:p w:rsidR="00BC4EC3" w:rsidRPr="00BC4EC3" w:rsidRDefault="00BC4EC3" w:rsidP="00BC4EC3">
                  <w:pPr>
                    <w:rPr>
                      <w:noProof/>
                      <w:color w:val="1F497D" w:themeColor="text2"/>
                      <w:sz w:val="14"/>
                      <w:szCs w:val="14"/>
                    </w:rPr>
                  </w:pPr>
                  <w:r w:rsidRPr="00BC4EC3">
                    <w:rPr>
                      <w:noProof/>
                      <w:color w:val="1F497D" w:themeColor="text2"/>
                      <w:sz w:val="14"/>
                      <w:szCs w:val="14"/>
                    </w:rPr>
                    <w:t>Τόκοι</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4,1%</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3,8%</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3,5%</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3,4%</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3,3%</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3,3%</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3,6%</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4,1%</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846" w:type="dxa"/>
                  <w:tcMar>
                    <w:left w:w="28" w:type="dxa"/>
                    <w:right w:w="28" w:type="dxa"/>
                  </w:tcMar>
                </w:tcPr>
                <w:p w:rsidR="00BC4EC3" w:rsidRPr="00BC4EC3" w:rsidRDefault="00BC4EC3" w:rsidP="00BC4EC3">
                  <w:pPr>
                    <w:rPr>
                      <w:noProof/>
                      <w:color w:val="1F497D" w:themeColor="text2"/>
                      <w:sz w:val="14"/>
                      <w:szCs w:val="14"/>
                    </w:rPr>
                  </w:pPr>
                  <w:r w:rsidRPr="00BC4EC3">
                    <w:rPr>
                      <w:noProof/>
                      <w:color w:val="1F497D" w:themeColor="text2"/>
                      <w:sz w:val="14"/>
                      <w:szCs w:val="14"/>
                    </w:rPr>
                    <w:t>Έσοδα</w:t>
                  </w:r>
                </w:p>
              </w:tc>
              <w:tc>
                <w:tcPr>
                  <w:tcW w:w="531" w:type="dxa"/>
                  <w:tcMar>
                    <w:left w:w="28"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46,8%</w:t>
                  </w:r>
                </w:p>
              </w:tc>
              <w:tc>
                <w:tcPr>
                  <w:tcW w:w="532" w:type="dxa"/>
                  <w:tcMar>
                    <w:left w:w="28"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48,1%</w:t>
                  </w:r>
                </w:p>
              </w:tc>
              <w:tc>
                <w:tcPr>
                  <w:tcW w:w="531" w:type="dxa"/>
                  <w:tcMar>
                    <w:left w:w="28"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47,2%</w:t>
                  </w:r>
                </w:p>
              </w:tc>
              <w:tc>
                <w:tcPr>
                  <w:tcW w:w="532" w:type="dxa"/>
                  <w:tcMar>
                    <w:left w:w="28"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46,2%</w:t>
                  </w:r>
                </w:p>
              </w:tc>
              <w:tc>
                <w:tcPr>
                  <w:tcW w:w="531" w:type="dxa"/>
                  <w:tcMar>
                    <w:left w:w="28"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45,1%</w:t>
                  </w:r>
                </w:p>
              </w:tc>
              <w:tc>
                <w:tcPr>
                  <w:tcW w:w="532" w:type="dxa"/>
                  <w:tcMar>
                    <w:left w:w="28"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44,2%</w:t>
                  </w:r>
                </w:p>
              </w:tc>
              <w:tc>
                <w:tcPr>
                  <w:tcW w:w="531" w:type="dxa"/>
                  <w:tcMar>
                    <w:left w:w="28"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43,5%</w:t>
                  </w:r>
                </w:p>
              </w:tc>
              <w:tc>
                <w:tcPr>
                  <w:tcW w:w="532" w:type="dxa"/>
                  <w:tcMar>
                    <w:left w:w="28" w:type="dxa"/>
                    <w:right w:w="28" w:type="dxa"/>
                  </w:tcMa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43,2%</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Mar>
                    <w:left w:w="28" w:type="dxa"/>
                    <w:right w:w="28" w:type="dxa"/>
                  </w:tcMar>
                </w:tcPr>
                <w:p w:rsidR="00BC4EC3" w:rsidRPr="00BC4EC3" w:rsidRDefault="00BC4EC3" w:rsidP="00BC4EC3">
                  <w:pPr>
                    <w:rPr>
                      <w:noProof/>
                      <w:color w:val="1F497D" w:themeColor="text2"/>
                      <w:sz w:val="14"/>
                      <w:szCs w:val="14"/>
                    </w:rPr>
                  </w:pPr>
                  <w:r w:rsidRPr="00BC4EC3">
                    <w:rPr>
                      <w:noProof/>
                      <w:color w:val="1F497D" w:themeColor="text2"/>
                      <w:sz w:val="14"/>
                      <w:szCs w:val="14"/>
                    </w:rPr>
                    <w:t>Δαπάνες</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50,8%</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51,1%</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50,5%</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48,9%</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46,8%</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46,0%</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45,5%</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45,8%</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846" w:type="dxa"/>
                  <w:tcMar>
                    <w:left w:w="28" w:type="dxa"/>
                    <w:right w:w="28" w:type="dxa"/>
                  </w:tcMar>
                </w:tcPr>
                <w:p w:rsidR="00BC4EC3" w:rsidRPr="00BC4EC3" w:rsidRDefault="00BC4EC3" w:rsidP="00BC4EC3">
                  <w:pPr>
                    <w:rPr>
                      <w:noProof/>
                      <w:color w:val="1F497D" w:themeColor="text2"/>
                      <w:sz w:val="14"/>
                      <w:szCs w:val="14"/>
                    </w:rPr>
                  </w:pPr>
                  <w:r w:rsidRPr="00BC4EC3">
                    <w:rPr>
                      <w:noProof/>
                      <w:color w:val="1F497D" w:themeColor="text2"/>
                      <w:sz w:val="14"/>
                      <w:szCs w:val="14"/>
                    </w:rPr>
                    <w:t>Πρωτογενείς δαπάνες</w:t>
                  </w:r>
                </w:p>
              </w:tc>
              <w:tc>
                <w:tcPr>
                  <w:tcW w:w="531"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46,7%</w:t>
                  </w:r>
                </w:p>
              </w:tc>
              <w:tc>
                <w:tcPr>
                  <w:tcW w:w="532"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47,3%</w:t>
                  </w:r>
                </w:p>
              </w:tc>
              <w:tc>
                <w:tcPr>
                  <w:tcW w:w="531"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47,0%</w:t>
                  </w:r>
                </w:p>
              </w:tc>
              <w:tc>
                <w:tcPr>
                  <w:tcW w:w="532"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45,5%</w:t>
                  </w:r>
                </w:p>
              </w:tc>
              <w:tc>
                <w:tcPr>
                  <w:tcW w:w="531"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43,5%</w:t>
                  </w:r>
                </w:p>
              </w:tc>
              <w:tc>
                <w:tcPr>
                  <w:tcW w:w="532"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42,7%</w:t>
                  </w:r>
                </w:p>
              </w:tc>
              <w:tc>
                <w:tcPr>
                  <w:tcW w:w="531"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42,9%</w:t>
                  </w:r>
                </w:p>
              </w:tc>
              <w:tc>
                <w:tcPr>
                  <w:tcW w:w="532" w:type="dxa"/>
                  <w:tcMar>
                    <w:left w:w="28" w:type="dxa"/>
                    <w:right w:w="28" w:type="dxa"/>
                  </w:tcMar>
                  <w:vAlign w:val="center"/>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41,7%</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Mar>
                    <w:left w:w="28" w:type="dxa"/>
                    <w:right w:w="28" w:type="dxa"/>
                  </w:tcMar>
                </w:tcPr>
                <w:p w:rsidR="00BC4EC3" w:rsidRPr="00BC4EC3" w:rsidRDefault="00BC4EC3" w:rsidP="00BC4EC3">
                  <w:pPr>
                    <w:rPr>
                      <w:noProof/>
                      <w:color w:val="1F497D" w:themeColor="text2"/>
                      <w:sz w:val="14"/>
                      <w:szCs w:val="14"/>
                    </w:rPr>
                  </w:pPr>
                  <w:r w:rsidRPr="00BC4EC3">
                    <w:rPr>
                      <w:noProof/>
                      <w:color w:val="1F497D" w:themeColor="text2"/>
                      <w:sz w:val="14"/>
                      <w:szCs w:val="14"/>
                    </w:rPr>
                    <w:t>Χρέος</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180,1%</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176,9%</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183,4%</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184,7%</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184,7%</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178,5%</w:t>
                  </w:r>
                </w:p>
              </w:tc>
              <w:tc>
                <w:tcPr>
                  <w:tcW w:w="531"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173,1%</w:t>
                  </w:r>
                </w:p>
              </w:tc>
              <w:tc>
                <w:tcPr>
                  <w:tcW w:w="532" w:type="dxa"/>
                  <w:tcMar>
                    <w:left w:w="28" w:type="dxa"/>
                    <w:right w:w="28" w:type="dxa"/>
                  </w:tcMar>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4"/>
                      <w:szCs w:val="14"/>
                    </w:rPr>
                  </w:pPr>
                  <w:r w:rsidRPr="00BC4EC3">
                    <w:rPr>
                      <w:noProof/>
                      <w:color w:val="1F497D" w:themeColor="text2"/>
                      <w:sz w:val="14"/>
                      <w:szCs w:val="14"/>
                    </w:rPr>
                    <w:t>169,2%</w:t>
                  </w:r>
                </w:p>
              </w:tc>
            </w:tr>
          </w:tbl>
          <w:p w:rsidR="00BC4EC3" w:rsidRDefault="00BC4EC3" w:rsidP="00BC4EC3">
            <w:pPr>
              <w:jc w:val="both"/>
              <w:rPr>
                <w:noProof/>
                <w:color w:val="7030A0"/>
                <w:sz w:val="20"/>
                <w:szCs w:val="20"/>
              </w:rPr>
            </w:pPr>
          </w:p>
          <w:p w:rsidR="00BC4EC3" w:rsidRDefault="00BC4EC3" w:rsidP="00BC4EC3">
            <w:pPr>
              <w:jc w:val="both"/>
              <w:rPr>
                <w:color w:val="7030A0"/>
                <w:sz w:val="20"/>
                <w:szCs w:val="20"/>
              </w:rPr>
            </w:pPr>
            <w:r>
              <w:rPr>
                <w:b/>
                <w:bCs/>
                <w:color w:val="7030A0"/>
                <w:sz w:val="20"/>
                <w:szCs w:val="20"/>
                <w:u w:val="single"/>
              </w:rPr>
              <w:t>Διάγραμμα 1</w:t>
            </w:r>
            <w:r w:rsidR="00822401">
              <w:rPr>
                <w:b/>
                <w:bCs/>
                <w:color w:val="7030A0"/>
                <w:sz w:val="20"/>
                <w:szCs w:val="20"/>
                <w:u w:val="single"/>
              </w:rPr>
              <w:t>3</w:t>
            </w:r>
            <w:r>
              <w:rPr>
                <w:b/>
                <w:bCs/>
                <w:color w:val="7030A0"/>
                <w:sz w:val="20"/>
                <w:szCs w:val="20"/>
              </w:rPr>
              <w:t xml:space="preserve">: Πρωτογενές πλεόνασμα και τόκοι Γενικής Κυβέρνησης </w:t>
            </w:r>
            <w:r>
              <w:rPr>
                <w:color w:val="7030A0"/>
                <w:sz w:val="20"/>
                <w:szCs w:val="20"/>
              </w:rPr>
              <w:t xml:space="preserve">(ΔΝΤ, </w:t>
            </w:r>
            <w:hyperlink r:id="rId41" w:history="1">
              <w:r>
                <w:rPr>
                  <w:rStyle w:val="-"/>
                  <w:color w:val="7030A0"/>
                  <w:sz w:val="18"/>
                  <w:szCs w:val="18"/>
                  <w:lang w:val="en-US"/>
                </w:rPr>
                <w:t>Fiscal</w:t>
              </w:r>
              <w:r w:rsidRPr="00BC4EC3">
                <w:rPr>
                  <w:rStyle w:val="-"/>
                  <w:color w:val="7030A0"/>
                  <w:sz w:val="18"/>
                  <w:szCs w:val="18"/>
                </w:rPr>
                <w:t xml:space="preserve"> </w:t>
              </w:r>
              <w:r>
                <w:rPr>
                  <w:rStyle w:val="-"/>
                  <w:color w:val="7030A0"/>
                  <w:sz w:val="18"/>
                  <w:szCs w:val="18"/>
                  <w:lang w:val="en-US"/>
                </w:rPr>
                <w:t>Monitor</w:t>
              </w:r>
            </w:hyperlink>
            <w:r>
              <w:rPr>
                <w:color w:val="7030A0"/>
                <w:sz w:val="20"/>
                <w:szCs w:val="20"/>
              </w:rPr>
              <w:t>, Οκτ. 2016)</w:t>
            </w:r>
          </w:p>
          <w:p w:rsidR="00BC4EC3" w:rsidRPr="00526B25" w:rsidRDefault="00BC4EC3" w:rsidP="00BC4EC3">
            <w:pPr>
              <w:jc w:val="both"/>
              <w:rPr>
                <w:noProof/>
                <w:color w:val="7030A0"/>
                <w:sz w:val="20"/>
                <w:szCs w:val="20"/>
              </w:rPr>
            </w:pPr>
            <w:r>
              <w:rPr>
                <w:noProof/>
                <w:color w:val="7030A0"/>
                <w:sz w:val="20"/>
                <w:szCs w:val="20"/>
              </w:rPr>
              <w:drawing>
                <wp:inline distT="0" distB="0" distL="0" distR="0">
                  <wp:extent cx="3240000" cy="21160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0" cy="2116036"/>
                          </a:xfrm>
                          <a:prstGeom prst="rect">
                            <a:avLst/>
                          </a:prstGeom>
                          <a:noFill/>
                        </pic:spPr>
                      </pic:pic>
                    </a:graphicData>
                  </a:graphic>
                </wp:inline>
              </w:drawing>
            </w:r>
          </w:p>
          <w:p w:rsidR="00BC4EC3" w:rsidRDefault="00BC4EC3" w:rsidP="00BC4EC3">
            <w:pPr>
              <w:jc w:val="both"/>
              <w:rPr>
                <w:b/>
                <w:bCs/>
                <w:color w:val="7030A0"/>
                <w:sz w:val="20"/>
                <w:szCs w:val="20"/>
              </w:rPr>
            </w:pPr>
            <w:r>
              <w:rPr>
                <w:b/>
                <w:bCs/>
                <w:color w:val="7030A0"/>
                <w:sz w:val="20"/>
                <w:szCs w:val="20"/>
                <w:u w:val="single"/>
              </w:rPr>
              <w:t xml:space="preserve">Διάγραμμα </w:t>
            </w:r>
            <w:r w:rsidR="00822401">
              <w:rPr>
                <w:b/>
                <w:bCs/>
                <w:color w:val="7030A0"/>
                <w:sz w:val="20"/>
                <w:szCs w:val="20"/>
                <w:u w:val="single"/>
              </w:rPr>
              <w:t>14</w:t>
            </w:r>
            <w:r>
              <w:rPr>
                <w:b/>
                <w:bCs/>
                <w:color w:val="7030A0"/>
                <w:sz w:val="20"/>
                <w:szCs w:val="20"/>
              </w:rPr>
              <w:t>: Χρέος Γενικής Κυβέρνησης</w:t>
            </w:r>
          </w:p>
          <w:p w:rsidR="00BC4EC3" w:rsidRDefault="00BC4EC3" w:rsidP="00BC4EC3">
            <w:pPr>
              <w:jc w:val="both"/>
              <w:rPr>
                <w:color w:val="7030A0"/>
                <w:sz w:val="20"/>
                <w:szCs w:val="20"/>
              </w:rPr>
            </w:pPr>
            <w:r>
              <w:rPr>
                <w:color w:val="7030A0"/>
                <w:sz w:val="20"/>
                <w:szCs w:val="20"/>
              </w:rPr>
              <w:t xml:space="preserve">(ΔΝΤ, </w:t>
            </w:r>
            <w:hyperlink r:id="rId43" w:history="1">
              <w:r>
                <w:rPr>
                  <w:rStyle w:val="-"/>
                  <w:color w:val="7030A0"/>
                  <w:sz w:val="18"/>
                  <w:szCs w:val="18"/>
                  <w:lang w:val="en-US"/>
                </w:rPr>
                <w:t>Fiscal</w:t>
              </w:r>
              <w:r w:rsidRPr="00704C98">
                <w:rPr>
                  <w:rStyle w:val="-"/>
                  <w:color w:val="7030A0"/>
                  <w:sz w:val="18"/>
                  <w:szCs w:val="18"/>
                </w:rPr>
                <w:t xml:space="preserve"> </w:t>
              </w:r>
              <w:r>
                <w:rPr>
                  <w:rStyle w:val="-"/>
                  <w:color w:val="7030A0"/>
                  <w:sz w:val="18"/>
                  <w:szCs w:val="18"/>
                  <w:lang w:val="en-US"/>
                </w:rPr>
                <w:t>Monitor</w:t>
              </w:r>
            </w:hyperlink>
            <w:r>
              <w:rPr>
                <w:color w:val="7030A0"/>
                <w:sz w:val="20"/>
                <w:szCs w:val="20"/>
              </w:rPr>
              <w:t>, Οκτ. 2016)</w:t>
            </w:r>
          </w:p>
          <w:p w:rsidR="00BC4EC3" w:rsidRDefault="00BC4EC3" w:rsidP="00BC4EC3">
            <w:pPr>
              <w:jc w:val="both"/>
              <w:rPr>
                <w:color w:val="7030A0"/>
                <w:sz w:val="20"/>
                <w:szCs w:val="20"/>
              </w:rPr>
            </w:pPr>
            <w:r>
              <w:rPr>
                <w:noProof/>
                <w:color w:val="7030A0"/>
                <w:sz w:val="20"/>
                <w:szCs w:val="20"/>
              </w:rPr>
              <w:drawing>
                <wp:inline distT="0" distB="0" distL="0" distR="0">
                  <wp:extent cx="3239770" cy="180333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892"/>
                          <a:stretch/>
                        </pic:blipFill>
                        <pic:spPr bwMode="auto">
                          <a:xfrm>
                            <a:off x="0" y="0"/>
                            <a:ext cx="3240000" cy="1803459"/>
                          </a:xfrm>
                          <a:prstGeom prst="rect">
                            <a:avLst/>
                          </a:prstGeom>
                          <a:noFill/>
                          <a:ln>
                            <a:noFill/>
                          </a:ln>
                          <a:extLst>
                            <a:ext uri="{53640926-AAD7-44D8-BBD7-CCE9431645EC}">
                              <a14:shadowObscured xmlns:a14="http://schemas.microsoft.com/office/drawing/2010/main"/>
                            </a:ext>
                          </a:extLst>
                        </pic:spPr>
                      </pic:pic>
                    </a:graphicData>
                  </a:graphic>
                </wp:inline>
              </w:drawing>
            </w:r>
          </w:p>
          <w:p w:rsidR="00BC4EC3" w:rsidRDefault="00BC4EC3" w:rsidP="00BC4EC3">
            <w:pPr>
              <w:jc w:val="both"/>
              <w:rPr>
                <w:b/>
                <w:noProof/>
                <w:color w:val="7030A0"/>
                <w:sz w:val="20"/>
                <w:szCs w:val="20"/>
                <w:u w:val="single"/>
              </w:rPr>
            </w:pPr>
          </w:p>
          <w:p w:rsidR="00BC4EC3" w:rsidRPr="00BC4EC3" w:rsidRDefault="00BC4EC3" w:rsidP="00BC4EC3">
            <w:pPr>
              <w:jc w:val="both"/>
              <w:rPr>
                <w:noProof/>
                <w:color w:val="7030A0"/>
                <w:sz w:val="20"/>
                <w:szCs w:val="20"/>
              </w:rPr>
            </w:pPr>
            <w:r w:rsidRPr="00790717">
              <w:rPr>
                <w:b/>
                <w:noProof/>
                <w:color w:val="7030A0"/>
                <w:sz w:val="20"/>
                <w:szCs w:val="20"/>
                <w:u w:val="single"/>
              </w:rPr>
              <w:t xml:space="preserve">Πίνανας </w:t>
            </w:r>
            <w:r w:rsidR="00822401">
              <w:rPr>
                <w:b/>
                <w:noProof/>
                <w:color w:val="7030A0"/>
                <w:sz w:val="20"/>
                <w:szCs w:val="20"/>
                <w:u w:val="single"/>
              </w:rPr>
              <w:t>6</w:t>
            </w:r>
            <w:r w:rsidRPr="00790717">
              <w:rPr>
                <w:b/>
                <w:noProof/>
                <w:color w:val="7030A0"/>
                <w:sz w:val="20"/>
                <w:szCs w:val="20"/>
              </w:rPr>
              <w:t xml:space="preserve">: Προβλέψεις ΔΝΤ για την </w:t>
            </w:r>
            <w:r>
              <w:rPr>
                <w:b/>
                <w:noProof/>
                <w:color w:val="7030A0"/>
                <w:sz w:val="20"/>
                <w:szCs w:val="20"/>
              </w:rPr>
              <w:t xml:space="preserve">παγκόσμια οικονομία </w:t>
            </w:r>
            <w:r w:rsidRPr="00BC4EC3">
              <w:rPr>
                <w:noProof/>
                <w:color w:val="7030A0"/>
                <w:sz w:val="20"/>
                <w:szCs w:val="20"/>
              </w:rPr>
              <w:t>(</w:t>
            </w:r>
            <w:r w:rsidRPr="00790717">
              <w:rPr>
                <w:noProof/>
                <w:color w:val="7030A0"/>
                <w:sz w:val="20"/>
                <w:szCs w:val="20"/>
              </w:rPr>
              <w:t>ΔΝΤ</w:t>
            </w:r>
            <w:r w:rsidRPr="00BC4EC3">
              <w:rPr>
                <w:noProof/>
                <w:color w:val="7030A0"/>
                <w:sz w:val="20"/>
                <w:szCs w:val="20"/>
              </w:rPr>
              <w:t xml:space="preserve">,  </w:t>
            </w:r>
            <w:hyperlink r:id="rId45" w:history="1">
              <w:r w:rsidRPr="00790717">
                <w:rPr>
                  <w:rStyle w:val="-"/>
                  <w:noProof/>
                  <w:color w:val="7030A0"/>
                  <w:sz w:val="20"/>
                  <w:szCs w:val="20"/>
                  <w:lang w:val="en-US"/>
                </w:rPr>
                <w:t>World</w:t>
              </w:r>
              <w:r w:rsidRPr="00BC4EC3">
                <w:rPr>
                  <w:rStyle w:val="-"/>
                  <w:noProof/>
                  <w:color w:val="7030A0"/>
                  <w:sz w:val="20"/>
                  <w:szCs w:val="20"/>
                </w:rPr>
                <w:t xml:space="preserve"> </w:t>
              </w:r>
              <w:r w:rsidRPr="00790717">
                <w:rPr>
                  <w:rStyle w:val="-"/>
                  <w:noProof/>
                  <w:color w:val="7030A0"/>
                  <w:sz w:val="20"/>
                  <w:szCs w:val="20"/>
                  <w:lang w:val="en-US"/>
                </w:rPr>
                <w:t>Economic</w:t>
              </w:r>
              <w:r w:rsidRPr="00BC4EC3">
                <w:rPr>
                  <w:rStyle w:val="-"/>
                  <w:noProof/>
                  <w:color w:val="7030A0"/>
                  <w:sz w:val="20"/>
                  <w:szCs w:val="20"/>
                </w:rPr>
                <w:t xml:space="preserve"> </w:t>
              </w:r>
              <w:r w:rsidRPr="00790717">
                <w:rPr>
                  <w:rStyle w:val="-"/>
                  <w:noProof/>
                  <w:color w:val="7030A0"/>
                  <w:sz w:val="20"/>
                  <w:szCs w:val="20"/>
                  <w:lang w:val="en-US"/>
                </w:rPr>
                <w:t>Outlook</w:t>
              </w:r>
            </w:hyperlink>
            <w:r w:rsidRPr="00BC4EC3">
              <w:rPr>
                <w:noProof/>
                <w:color w:val="7030A0"/>
                <w:sz w:val="20"/>
                <w:szCs w:val="20"/>
              </w:rPr>
              <w:t xml:space="preserve">, </w:t>
            </w:r>
            <w:r w:rsidRPr="00790717">
              <w:rPr>
                <w:noProof/>
                <w:color w:val="7030A0"/>
                <w:sz w:val="20"/>
                <w:szCs w:val="20"/>
              </w:rPr>
              <w:t>Οκτ</w:t>
            </w:r>
            <w:r w:rsidRPr="00BC4EC3">
              <w:rPr>
                <w:noProof/>
                <w:color w:val="7030A0"/>
                <w:sz w:val="20"/>
                <w:szCs w:val="20"/>
              </w:rPr>
              <w:t>. 2016)</w:t>
            </w:r>
          </w:p>
          <w:tbl>
            <w:tblPr>
              <w:tblStyle w:val="ListTable4Accent5"/>
              <w:tblW w:w="0" w:type="auto"/>
              <w:tblLayout w:type="fixed"/>
              <w:tblLook w:val="04A0" w:firstRow="1" w:lastRow="0" w:firstColumn="1" w:lastColumn="0" w:noHBand="0" w:noVBand="1"/>
            </w:tblPr>
            <w:tblGrid>
              <w:gridCol w:w="2405"/>
              <w:gridCol w:w="639"/>
              <w:gridCol w:w="639"/>
              <w:gridCol w:w="639"/>
              <w:gridCol w:w="639"/>
            </w:tblGrid>
            <w:tr w:rsidR="00BC4EC3" w:rsidRPr="00B0591F" w:rsidTr="00BC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65F91" w:themeFill="accent1" w:themeFillShade="BF"/>
                  <w:vAlign w:val="bottom"/>
                </w:tcPr>
                <w:p w:rsidR="00BC4EC3" w:rsidRPr="00BC4EC3" w:rsidRDefault="00BC4EC3" w:rsidP="00BC4EC3">
                  <w:pPr>
                    <w:jc w:val="right"/>
                    <w:rPr>
                      <w:b w:val="0"/>
                      <w:i/>
                      <w:noProof/>
                      <w:sz w:val="16"/>
                      <w:szCs w:val="16"/>
                    </w:rPr>
                  </w:pPr>
                </w:p>
              </w:tc>
              <w:tc>
                <w:tcPr>
                  <w:tcW w:w="639" w:type="dxa"/>
                  <w:shd w:val="clear" w:color="auto" w:fill="365F91" w:themeFill="accent1" w:themeFillShade="BF"/>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2015</w:t>
                  </w:r>
                </w:p>
              </w:tc>
              <w:tc>
                <w:tcPr>
                  <w:tcW w:w="639" w:type="dxa"/>
                  <w:shd w:val="clear" w:color="auto" w:fill="365F91" w:themeFill="accent1" w:themeFillShade="BF"/>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2016</w:t>
                  </w:r>
                </w:p>
              </w:tc>
              <w:tc>
                <w:tcPr>
                  <w:tcW w:w="639" w:type="dxa"/>
                  <w:shd w:val="clear" w:color="auto" w:fill="365F91" w:themeFill="accent1" w:themeFillShade="BF"/>
                  <w:vAlign w:val="center"/>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2017</w:t>
                  </w:r>
                </w:p>
              </w:tc>
              <w:tc>
                <w:tcPr>
                  <w:tcW w:w="639" w:type="dxa"/>
                  <w:shd w:val="clear" w:color="auto" w:fill="365F91" w:themeFill="accent1" w:themeFillShade="BF"/>
                </w:tcPr>
                <w:p w:rsidR="00BC4EC3" w:rsidRPr="00B0591F" w:rsidRDefault="00BC4EC3" w:rsidP="00BC4EC3">
                  <w:pPr>
                    <w:jc w:val="right"/>
                    <w:cnfStyle w:val="100000000000" w:firstRow="1" w:lastRow="0" w:firstColumn="0" w:lastColumn="0" w:oddVBand="0" w:evenVBand="0" w:oddHBand="0" w:evenHBand="0" w:firstRowFirstColumn="0" w:firstRowLastColumn="0" w:lastRowFirstColumn="0" w:lastRowLastColumn="0"/>
                    <w:rPr>
                      <w:noProof/>
                      <w:sz w:val="16"/>
                      <w:szCs w:val="16"/>
                    </w:rPr>
                  </w:pPr>
                  <w:r w:rsidRPr="00B0591F">
                    <w:rPr>
                      <w:noProof/>
                      <w:sz w:val="16"/>
                      <w:szCs w:val="16"/>
                    </w:rPr>
                    <w:t>2021</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rPr>
                      <w:noProof/>
                      <w:color w:val="1F497D" w:themeColor="text2"/>
                      <w:sz w:val="16"/>
                      <w:szCs w:val="16"/>
                    </w:rPr>
                  </w:pPr>
                  <w:r w:rsidRPr="00BC4EC3">
                    <w:rPr>
                      <w:noProof/>
                      <w:color w:val="1F497D" w:themeColor="text2"/>
                      <w:sz w:val="16"/>
                      <w:szCs w:val="16"/>
                    </w:rPr>
                    <w:t>Παγκόσμιο ΑΕΠ</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3,2%</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3,1%</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3,4%</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3,8%</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171"/>
                    <w:rPr>
                      <w:noProof/>
                      <w:color w:val="1F497D" w:themeColor="text2"/>
                      <w:sz w:val="16"/>
                      <w:szCs w:val="16"/>
                    </w:rPr>
                  </w:pPr>
                  <w:r w:rsidRPr="00BC4EC3">
                    <w:rPr>
                      <w:noProof/>
                      <w:color w:val="1F497D" w:themeColor="text2"/>
                      <w:sz w:val="16"/>
                      <w:szCs w:val="16"/>
                    </w:rPr>
                    <w:t>Ανεπτυγμένες οικονομίες</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2,1%</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1,6%</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1,8%</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1,7%</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313"/>
                    <w:rPr>
                      <w:noProof/>
                      <w:color w:val="1F497D" w:themeColor="text2"/>
                      <w:sz w:val="16"/>
                      <w:szCs w:val="16"/>
                    </w:rPr>
                  </w:pPr>
                  <w:r w:rsidRPr="00BC4EC3">
                    <w:rPr>
                      <w:noProof/>
                      <w:color w:val="1F497D" w:themeColor="text2"/>
                      <w:sz w:val="16"/>
                      <w:szCs w:val="16"/>
                    </w:rPr>
                    <w:t>ΗΠΑ</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2,6%</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1,6%</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2,2%</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1,6%</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313"/>
                    <w:rPr>
                      <w:noProof/>
                      <w:color w:val="1F497D" w:themeColor="text2"/>
                      <w:sz w:val="16"/>
                      <w:szCs w:val="16"/>
                    </w:rPr>
                  </w:pPr>
                  <w:r w:rsidRPr="00BC4EC3">
                    <w:rPr>
                      <w:noProof/>
                      <w:color w:val="1F497D" w:themeColor="text2"/>
                      <w:sz w:val="16"/>
                      <w:szCs w:val="16"/>
                    </w:rPr>
                    <w:t>Ευρωζώνη</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2,0%</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1,7%</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1,5%</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1,5%</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454"/>
                    <w:rPr>
                      <w:noProof/>
                      <w:color w:val="1F497D" w:themeColor="text2"/>
                      <w:sz w:val="16"/>
                      <w:szCs w:val="16"/>
                    </w:rPr>
                  </w:pPr>
                  <w:r w:rsidRPr="00BC4EC3">
                    <w:rPr>
                      <w:noProof/>
                      <w:color w:val="1F497D" w:themeColor="text2"/>
                      <w:sz w:val="16"/>
                      <w:szCs w:val="16"/>
                    </w:rPr>
                    <w:t>Γερμανία</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1,5%</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1,7%</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1,4%</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1,2%</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454"/>
                    <w:rPr>
                      <w:noProof/>
                      <w:color w:val="1F497D" w:themeColor="text2"/>
                      <w:sz w:val="16"/>
                      <w:szCs w:val="16"/>
                    </w:rPr>
                  </w:pPr>
                  <w:r w:rsidRPr="00BC4EC3">
                    <w:rPr>
                      <w:noProof/>
                      <w:color w:val="1F497D" w:themeColor="text2"/>
                      <w:sz w:val="16"/>
                      <w:szCs w:val="16"/>
                    </w:rPr>
                    <w:t>Γαλλία</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1,3%</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1,3%</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1,3%</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1,8%</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454"/>
                    <w:rPr>
                      <w:noProof/>
                      <w:color w:val="1F497D" w:themeColor="text2"/>
                      <w:sz w:val="16"/>
                      <w:szCs w:val="16"/>
                    </w:rPr>
                  </w:pPr>
                  <w:r w:rsidRPr="00BC4EC3">
                    <w:rPr>
                      <w:noProof/>
                      <w:color w:val="1F497D" w:themeColor="text2"/>
                      <w:sz w:val="16"/>
                      <w:szCs w:val="16"/>
                    </w:rPr>
                    <w:t>Ιταλία</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0,8%</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0,8%</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0,9%</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0,8%</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454"/>
                    <w:rPr>
                      <w:noProof/>
                      <w:color w:val="1F497D" w:themeColor="text2"/>
                      <w:sz w:val="16"/>
                      <w:szCs w:val="16"/>
                    </w:rPr>
                  </w:pPr>
                  <w:r w:rsidRPr="00BC4EC3">
                    <w:rPr>
                      <w:noProof/>
                      <w:color w:val="1F497D" w:themeColor="text2"/>
                      <w:sz w:val="16"/>
                      <w:szCs w:val="16"/>
                    </w:rPr>
                    <w:t>Ισπανία</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3,2%</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3,1%</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2,2%</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1,6%</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454"/>
                    <w:rPr>
                      <w:noProof/>
                      <w:color w:val="1F497D" w:themeColor="text2"/>
                      <w:sz w:val="16"/>
                      <w:szCs w:val="16"/>
                    </w:rPr>
                  </w:pPr>
                  <w:r w:rsidRPr="00BC4EC3">
                    <w:rPr>
                      <w:noProof/>
                      <w:color w:val="1F497D" w:themeColor="text2"/>
                      <w:sz w:val="16"/>
                      <w:szCs w:val="16"/>
                    </w:rPr>
                    <w:t>Ελλάδα</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-0,2%</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0,1%</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2,8%</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1,8%</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454"/>
                    <w:rPr>
                      <w:noProof/>
                      <w:color w:val="1F497D" w:themeColor="text2"/>
                      <w:sz w:val="16"/>
                      <w:szCs w:val="16"/>
                    </w:rPr>
                  </w:pPr>
                  <w:r w:rsidRPr="00BC4EC3">
                    <w:rPr>
                      <w:noProof/>
                      <w:color w:val="1F497D" w:themeColor="text2"/>
                      <w:sz w:val="16"/>
                      <w:szCs w:val="16"/>
                    </w:rPr>
                    <w:t>Πορτογαλία</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1,5%</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1,0%</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1,1%</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1,2%</w:t>
                  </w:r>
                </w:p>
              </w:tc>
            </w:tr>
            <w:tr w:rsidR="00BC4EC3" w:rsidRPr="00B0591F" w:rsidTr="00BC4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313"/>
                    <w:rPr>
                      <w:noProof/>
                      <w:color w:val="1F497D" w:themeColor="text2"/>
                      <w:sz w:val="16"/>
                      <w:szCs w:val="16"/>
                    </w:rPr>
                  </w:pPr>
                  <w:r w:rsidRPr="00BC4EC3">
                    <w:rPr>
                      <w:noProof/>
                      <w:color w:val="1F497D" w:themeColor="text2"/>
                      <w:sz w:val="16"/>
                      <w:szCs w:val="16"/>
                    </w:rPr>
                    <w:t>Ην. Βασίλειο</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2,2%</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1,8%</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1,1%</w:t>
                  </w:r>
                </w:p>
              </w:tc>
              <w:tc>
                <w:tcPr>
                  <w:tcW w:w="639" w:type="dxa"/>
                </w:tcPr>
                <w:p w:rsidR="00BC4EC3" w:rsidRPr="00BC4EC3" w:rsidRDefault="00BC4EC3" w:rsidP="00BC4EC3">
                  <w:pPr>
                    <w:jc w:val="right"/>
                    <w:cnfStyle w:val="000000100000" w:firstRow="0" w:lastRow="0" w:firstColumn="0" w:lastColumn="0" w:oddVBand="0" w:evenVBand="0" w:oddHBand="1"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1,9%</w:t>
                  </w:r>
                </w:p>
              </w:tc>
            </w:tr>
            <w:tr w:rsidR="00BC4EC3" w:rsidRPr="00B0591F" w:rsidTr="00BC4EC3">
              <w:tc>
                <w:tcPr>
                  <w:cnfStyle w:val="001000000000" w:firstRow="0" w:lastRow="0" w:firstColumn="1" w:lastColumn="0" w:oddVBand="0" w:evenVBand="0" w:oddHBand="0" w:evenHBand="0" w:firstRowFirstColumn="0" w:firstRowLastColumn="0" w:lastRowFirstColumn="0" w:lastRowLastColumn="0"/>
                  <w:tcW w:w="2405" w:type="dxa"/>
                </w:tcPr>
                <w:p w:rsidR="00BC4EC3" w:rsidRPr="00BC4EC3" w:rsidRDefault="00BC4EC3" w:rsidP="00BC4EC3">
                  <w:pPr>
                    <w:ind w:firstLine="171"/>
                    <w:rPr>
                      <w:noProof/>
                      <w:color w:val="1F497D" w:themeColor="text2"/>
                      <w:sz w:val="16"/>
                      <w:szCs w:val="16"/>
                    </w:rPr>
                  </w:pPr>
                  <w:r w:rsidRPr="00BC4EC3">
                    <w:rPr>
                      <w:noProof/>
                      <w:color w:val="1F497D" w:themeColor="text2"/>
                      <w:sz w:val="16"/>
                      <w:szCs w:val="16"/>
                    </w:rPr>
                    <w:t>Αναπτυσσόμενες οικονομίες</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4,0%</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4,2%</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4,6%</w:t>
                  </w:r>
                </w:p>
              </w:tc>
              <w:tc>
                <w:tcPr>
                  <w:tcW w:w="639" w:type="dxa"/>
                </w:tcPr>
                <w:p w:rsidR="00BC4EC3" w:rsidRPr="00BC4EC3" w:rsidRDefault="00BC4EC3" w:rsidP="00BC4EC3">
                  <w:pPr>
                    <w:jc w:val="right"/>
                    <w:cnfStyle w:val="000000000000" w:firstRow="0" w:lastRow="0" w:firstColumn="0" w:lastColumn="0" w:oddVBand="0" w:evenVBand="0" w:oddHBand="0" w:evenHBand="0" w:firstRowFirstColumn="0" w:firstRowLastColumn="0" w:lastRowFirstColumn="0" w:lastRowLastColumn="0"/>
                    <w:rPr>
                      <w:noProof/>
                      <w:color w:val="1F497D" w:themeColor="text2"/>
                      <w:sz w:val="16"/>
                      <w:szCs w:val="16"/>
                    </w:rPr>
                  </w:pPr>
                  <w:r w:rsidRPr="00BC4EC3">
                    <w:rPr>
                      <w:noProof/>
                      <w:color w:val="1F497D" w:themeColor="text2"/>
                      <w:sz w:val="16"/>
                      <w:szCs w:val="16"/>
                    </w:rPr>
                    <w:t>5,1%</w:t>
                  </w:r>
                </w:p>
              </w:tc>
            </w:tr>
          </w:tbl>
          <w:p w:rsidR="00DA45E2" w:rsidRPr="00CF0AE8" w:rsidRDefault="00DA45E2" w:rsidP="001E49F6">
            <w:pPr>
              <w:rPr>
                <w:b/>
                <w:color w:val="7030A0"/>
                <w:sz w:val="20"/>
                <w:szCs w:val="20"/>
                <w:u w:val="single"/>
              </w:rPr>
            </w:pPr>
          </w:p>
          <w:p w:rsidR="00B62E7B" w:rsidRPr="00CF0AE8" w:rsidRDefault="00B62E7B" w:rsidP="00E6524E">
            <w:pPr>
              <w:rPr>
                <w:bCs/>
                <w:color w:val="7030A0"/>
                <w:sz w:val="14"/>
                <w:szCs w:val="14"/>
              </w:rPr>
            </w:pPr>
          </w:p>
        </w:tc>
      </w:tr>
    </w:tbl>
    <w:tbl>
      <w:tblPr>
        <w:tblStyle w:val="a6"/>
        <w:tblpPr w:leftFromText="181" w:rightFromText="181" w:vertAnchor="page" w:horzAnchor="page" w:tblpXSpec="center" w:tblpY="22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2"/>
      </w:tblGrid>
      <w:tr w:rsidR="006F1877" w:rsidTr="0028614B">
        <w:trPr>
          <w:trHeight w:val="1503"/>
        </w:trPr>
        <w:tc>
          <w:tcPr>
            <w:tcW w:w="10389" w:type="dxa"/>
            <w:gridSpan w:val="2"/>
          </w:tcPr>
          <w:tbl>
            <w:tblPr>
              <w:tblW w:w="9498" w:type="dxa"/>
              <w:jc w:val="center"/>
              <w:shd w:val="clear" w:color="auto" w:fill="1F497D" w:themeFill="text2"/>
              <w:tblLook w:val="04A0" w:firstRow="1" w:lastRow="0" w:firstColumn="1" w:lastColumn="0" w:noHBand="0" w:noVBand="1"/>
            </w:tblPr>
            <w:tblGrid>
              <w:gridCol w:w="2410"/>
              <w:gridCol w:w="2126"/>
              <w:gridCol w:w="2268"/>
              <w:gridCol w:w="2694"/>
            </w:tblGrid>
            <w:tr w:rsidR="006F1877" w:rsidRPr="001A261D" w:rsidTr="0005095E">
              <w:trPr>
                <w:trHeight w:val="20"/>
                <w:jc w:val="center"/>
              </w:trPr>
              <w:tc>
                <w:tcPr>
                  <w:tcW w:w="9498" w:type="dxa"/>
                  <w:gridSpan w:val="4"/>
                  <w:shd w:val="clear" w:color="auto" w:fill="auto"/>
                  <w:noWrap/>
                  <w:vAlign w:val="bottom"/>
                  <w:hideMark/>
                </w:tcPr>
                <w:p w:rsidR="006F1877" w:rsidRPr="006C7DB8"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1F497D" w:themeColor="text2"/>
                      <w:sz w:val="28"/>
                      <w:szCs w:val="28"/>
                    </w:rPr>
                  </w:pPr>
                  <w:r w:rsidRPr="00CF0AE8">
                    <w:lastRenderedPageBreak/>
                    <w:br w:type="page"/>
                  </w:r>
                  <w:r w:rsidR="00CB3179" w:rsidRPr="00CB3179">
                    <w:rPr>
                      <w:rFonts w:ascii="Calibri" w:eastAsia="Times New Roman" w:hAnsi="Calibri" w:cs="Times New Roman"/>
                      <w:b/>
                      <w:bCs/>
                      <w:color w:val="365F91" w:themeColor="accent1" w:themeShade="BF"/>
                      <w:sz w:val="28"/>
                      <w:szCs w:val="28"/>
                      <w:shd w:val="clear" w:color="auto" w:fill="365F91" w:themeFill="accent1" w:themeFillShade="BF"/>
                    </w:rPr>
                    <w:t>..</w:t>
                  </w:r>
                  <w:r w:rsidR="00CB3179">
                    <w:rPr>
                      <w:rFonts w:ascii="Calibri" w:eastAsia="Times New Roman" w:hAnsi="Calibri" w:cs="Times New Roman"/>
                      <w:b/>
                      <w:bCs/>
                      <w:color w:val="F2F2F2" w:themeColor="background1" w:themeShade="F2"/>
                      <w:sz w:val="28"/>
                      <w:szCs w:val="28"/>
                      <w:shd w:val="clear" w:color="auto" w:fill="365F91" w:themeFill="accent1" w:themeFillShade="BF"/>
                    </w:rPr>
                    <w:t>Ο</w:t>
                  </w:r>
                  <w:r>
                    <w:rPr>
                      <w:rFonts w:ascii="Calibri" w:eastAsia="Times New Roman" w:hAnsi="Calibri" w:cs="Times New Roman"/>
                      <w:b/>
                      <w:bCs/>
                      <w:color w:val="F2F2F2" w:themeColor="background1" w:themeShade="F2"/>
                      <w:sz w:val="28"/>
                      <w:szCs w:val="28"/>
                      <w:shd w:val="clear" w:color="auto" w:fill="365F91" w:themeFill="accent1" w:themeFillShade="BF"/>
                    </w:rPr>
                    <w:t>ικονομικά μεγέθη μελών ΣΕΒ</w:t>
                  </w:r>
                  <w:r w:rsidR="00CB3179" w:rsidRPr="00CB3179">
                    <w:rPr>
                      <w:rFonts w:ascii="Calibri" w:eastAsia="Times New Roman" w:hAnsi="Calibri" w:cs="Times New Roman"/>
                      <w:b/>
                      <w:bCs/>
                      <w:color w:val="365F91" w:themeColor="accent1" w:themeShade="BF"/>
                      <w:sz w:val="28"/>
                      <w:szCs w:val="28"/>
                      <w:shd w:val="clear" w:color="auto" w:fill="365F91" w:themeFill="accent1" w:themeFillShade="BF"/>
                    </w:rPr>
                    <w:t>..</w:t>
                  </w:r>
                </w:p>
                <w:p w:rsidR="006F1877" w:rsidRPr="001A261D" w:rsidRDefault="006F1877" w:rsidP="00193E93">
                  <w:pPr>
                    <w:framePr w:hSpace="181" w:wrap="around" w:vAnchor="page" w:hAnchor="page" w:xAlign="center" w:y="2269"/>
                    <w:spacing w:after="0" w:line="240" w:lineRule="auto"/>
                    <w:suppressOverlap/>
                    <w:rPr>
                      <w:rFonts w:ascii="Calibri" w:eastAsia="Times New Roman" w:hAnsi="Calibri" w:cs="Times New Roman"/>
                      <w:b/>
                      <w:bCs/>
                      <w:color w:val="1F497D" w:themeColor="text2"/>
                      <w:sz w:val="24"/>
                      <w:szCs w:val="24"/>
                    </w:rPr>
                  </w:pPr>
                  <w:r w:rsidRPr="001A261D">
                    <w:rPr>
                      <w:rFonts w:ascii="Calibri" w:eastAsia="Times New Roman" w:hAnsi="Calibri" w:cs="Times New Roman"/>
                      <w:b/>
                      <w:bCs/>
                      <w:color w:val="1F497D" w:themeColor="text2"/>
                      <w:sz w:val="24"/>
                      <w:szCs w:val="24"/>
                      <w:lang w:val="en-US"/>
                    </w:rPr>
                    <w:t> </w:t>
                  </w:r>
                </w:p>
              </w:tc>
            </w:tr>
            <w:tr w:rsidR="006F1877" w:rsidRPr="001A261D" w:rsidTr="0005095E">
              <w:trPr>
                <w:trHeight w:val="20"/>
                <w:jc w:val="center"/>
              </w:trPr>
              <w:tc>
                <w:tcPr>
                  <w:tcW w:w="2410" w:type="dxa"/>
                  <w:tcBorders>
                    <w:right w:val="single" w:sz="48" w:space="0" w:color="FFFFFF" w:themeColor="background1"/>
                  </w:tcBorders>
                  <w:shd w:val="clear" w:color="auto" w:fill="365F91" w:themeFill="accent1" w:themeFillShade="BF"/>
                  <w:noWrap/>
                  <w:vAlign w:val="bottom"/>
                </w:tcPr>
                <w:p w:rsidR="006F1877" w:rsidRPr="000E2E34"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Ενεργητικό   </w:t>
                  </w:r>
                </w:p>
              </w:tc>
              <w:tc>
                <w:tcPr>
                  <w:tcW w:w="2126" w:type="dxa"/>
                  <w:tcBorders>
                    <w:left w:val="single" w:sz="48" w:space="0" w:color="FFFFFF" w:themeColor="background1"/>
                    <w:right w:val="single" w:sz="48" w:space="0" w:color="FFFFFF" w:themeColor="background1"/>
                  </w:tcBorders>
                  <w:shd w:val="clear" w:color="auto" w:fill="365F91" w:themeFill="accent1" w:themeFillShade="BF"/>
                  <w:noWrap/>
                  <w:vAlign w:val="bottom"/>
                  <w:hideMark/>
                </w:tcPr>
                <w:p w:rsidR="006F1877" w:rsidRPr="000E2E34"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Ίδια κεφάλαια   </w:t>
                  </w:r>
                </w:p>
              </w:tc>
              <w:tc>
                <w:tcPr>
                  <w:tcW w:w="2268" w:type="dxa"/>
                  <w:tcBorders>
                    <w:left w:val="single" w:sz="48" w:space="0" w:color="FFFFFF" w:themeColor="background1"/>
                    <w:right w:val="single" w:sz="48" w:space="0" w:color="FFFFFF" w:themeColor="background1"/>
                  </w:tcBorders>
                  <w:shd w:val="clear" w:color="auto" w:fill="365F91" w:themeFill="accent1" w:themeFillShade="BF"/>
                  <w:noWrap/>
                  <w:vAlign w:val="bottom"/>
                </w:tcPr>
                <w:p w:rsidR="006F1877" w:rsidRPr="000E2E34"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Πωλήσεις</w:t>
                  </w:r>
                </w:p>
              </w:tc>
              <w:tc>
                <w:tcPr>
                  <w:tcW w:w="2694" w:type="dxa"/>
                  <w:tcBorders>
                    <w:left w:val="single" w:sz="48" w:space="0" w:color="FFFFFF" w:themeColor="background1"/>
                  </w:tcBorders>
                  <w:shd w:val="clear" w:color="auto" w:fill="365F91" w:themeFill="accent1" w:themeFillShade="BF"/>
                  <w:noWrap/>
                  <w:vAlign w:val="bottom"/>
                  <w:hideMark/>
                </w:tcPr>
                <w:p w:rsidR="006F1877" w:rsidRPr="000E2E34"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Προ φόρων κ</w:t>
                  </w:r>
                  <w:r w:rsidRPr="000E2E34">
                    <w:rPr>
                      <w:rFonts w:ascii="Calibri" w:eastAsia="Times New Roman" w:hAnsi="Calibri" w:cs="Times New Roman"/>
                      <w:b/>
                      <w:bCs/>
                      <w:color w:val="FFFFFF" w:themeColor="background1"/>
                      <w:sz w:val="24"/>
                      <w:szCs w:val="24"/>
                    </w:rPr>
                    <w:t>έρδη</w:t>
                  </w:r>
                </w:p>
              </w:tc>
            </w:tr>
            <w:tr w:rsidR="006F1877" w:rsidRPr="001A261D" w:rsidTr="0005095E">
              <w:trPr>
                <w:trHeight w:val="20"/>
                <w:jc w:val="center"/>
              </w:trPr>
              <w:tc>
                <w:tcPr>
                  <w:tcW w:w="2410" w:type="dxa"/>
                  <w:tcBorders>
                    <w:bottom w:val="single" w:sz="48" w:space="0" w:color="FFFFFF" w:themeColor="background1"/>
                    <w:right w:val="single" w:sz="48" w:space="0" w:color="FFFFFF" w:themeColor="background1"/>
                  </w:tcBorders>
                  <w:shd w:val="clear" w:color="auto" w:fill="365F91" w:themeFill="accent1" w:themeFillShade="BF"/>
                  <w:noWrap/>
                  <w:vAlign w:val="bottom"/>
                </w:tcPr>
                <w:p w:rsid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€ 435</w:t>
                  </w:r>
                  <w:r w:rsidR="00D7412D">
                    <w:rPr>
                      <w:rFonts w:ascii="Calibri" w:eastAsia="Times New Roman" w:hAnsi="Calibri" w:cs="Times New Roman"/>
                      <w:b/>
                      <w:bCs/>
                      <w:color w:val="FFFFFF" w:themeColor="background1"/>
                      <w:sz w:val="24"/>
                      <w:szCs w:val="24"/>
                    </w:rPr>
                    <w:t xml:space="preserve">δισ. </w:t>
                  </w:r>
                </w:p>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72% συνόλου</w:t>
                  </w:r>
                  <w:r w:rsidRPr="00CA235F">
                    <w:rPr>
                      <w:rFonts w:ascii="Calibri" w:eastAsia="Times New Roman" w:hAnsi="Calibri" w:cs="Times New Roman"/>
                      <w:b/>
                      <w:bCs/>
                      <w:color w:val="FFFFFF" w:themeColor="background1"/>
                      <w:sz w:val="20"/>
                      <w:szCs w:val="20"/>
                    </w:rPr>
                    <w:t>*</w:t>
                  </w:r>
                </w:p>
              </w:tc>
              <w:tc>
                <w:tcPr>
                  <w:tcW w:w="2126" w:type="dxa"/>
                  <w:tcBorders>
                    <w:left w:val="single" w:sz="48" w:space="0" w:color="FFFFFF" w:themeColor="background1"/>
                    <w:bottom w:val="single" w:sz="48" w:space="0" w:color="FFFFFF" w:themeColor="background1"/>
                    <w:right w:val="single" w:sz="48" w:space="0" w:color="FFFFFF" w:themeColor="background1"/>
                  </w:tcBorders>
                  <w:shd w:val="clear" w:color="auto" w:fill="365F91" w:themeFill="accent1" w:themeFillShade="BF"/>
                  <w:noWrap/>
                  <w:vAlign w:val="bottom"/>
                  <w:hideMark/>
                </w:tcPr>
                <w:p w:rsid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€ 58 </w:t>
                  </w:r>
                  <w:r w:rsidR="00D7412D">
                    <w:rPr>
                      <w:rFonts w:ascii="Calibri" w:eastAsia="Times New Roman" w:hAnsi="Calibri" w:cs="Times New Roman"/>
                      <w:b/>
                      <w:bCs/>
                      <w:color w:val="FFFFFF" w:themeColor="background1"/>
                      <w:sz w:val="24"/>
                      <w:szCs w:val="24"/>
                    </w:rPr>
                    <w:t xml:space="preserve">δισ. </w:t>
                  </w:r>
                </w:p>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44% συνόλου</w:t>
                  </w:r>
                  <w:r w:rsidRPr="00CA235F">
                    <w:rPr>
                      <w:rFonts w:ascii="Calibri" w:eastAsia="Times New Roman" w:hAnsi="Calibri" w:cs="Times New Roman"/>
                      <w:b/>
                      <w:bCs/>
                      <w:color w:val="FFFFFF" w:themeColor="background1"/>
                      <w:sz w:val="20"/>
                      <w:szCs w:val="20"/>
                    </w:rPr>
                    <w:t>*</w:t>
                  </w:r>
                </w:p>
              </w:tc>
              <w:tc>
                <w:tcPr>
                  <w:tcW w:w="2268" w:type="dxa"/>
                  <w:tcBorders>
                    <w:left w:val="single" w:sz="48" w:space="0" w:color="FFFFFF" w:themeColor="background1"/>
                    <w:bottom w:val="single" w:sz="48" w:space="0" w:color="FFFFFF" w:themeColor="background1"/>
                    <w:right w:val="single" w:sz="48" w:space="0" w:color="FFFFFF" w:themeColor="background1"/>
                  </w:tcBorders>
                  <w:shd w:val="clear" w:color="auto" w:fill="365F91" w:themeFill="accent1" w:themeFillShade="BF"/>
                  <w:noWrap/>
                  <w:vAlign w:val="bottom"/>
                </w:tcPr>
                <w:p w:rsid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 </w:t>
                  </w:r>
                  <w:r w:rsidRPr="001A261D">
                    <w:rPr>
                      <w:rFonts w:ascii="Calibri" w:eastAsia="Times New Roman" w:hAnsi="Calibri" w:cs="Times New Roman"/>
                      <w:b/>
                      <w:bCs/>
                      <w:color w:val="FFFFFF" w:themeColor="background1"/>
                      <w:sz w:val="24"/>
                      <w:szCs w:val="24"/>
                    </w:rPr>
                    <w:t xml:space="preserve">77 </w:t>
                  </w:r>
                  <w:r w:rsidR="00D7412D">
                    <w:rPr>
                      <w:rFonts w:ascii="Calibri" w:eastAsia="Times New Roman" w:hAnsi="Calibri" w:cs="Times New Roman"/>
                      <w:b/>
                      <w:bCs/>
                      <w:color w:val="FFFFFF" w:themeColor="background1"/>
                      <w:sz w:val="24"/>
                      <w:szCs w:val="24"/>
                    </w:rPr>
                    <w:t xml:space="preserve">δισ. </w:t>
                  </w:r>
                </w:p>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46% συνόλου</w:t>
                  </w:r>
                  <w:r w:rsidRPr="00CA235F">
                    <w:rPr>
                      <w:rFonts w:ascii="Calibri" w:eastAsia="Times New Roman" w:hAnsi="Calibri" w:cs="Times New Roman"/>
                      <w:b/>
                      <w:bCs/>
                      <w:color w:val="FFFFFF" w:themeColor="background1"/>
                      <w:sz w:val="20"/>
                      <w:szCs w:val="20"/>
                    </w:rPr>
                    <w:t>*</w:t>
                  </w:r>
                </w:p>
              </w:tc>
              <w:tc>
                <w:tcPr>
                  <w:tcW w:w="2694" w:type="dxa"/>
                  <w:tcBorders>
                    <w:left w:val="single" w:sz="48" w:space="0" w:color="FFFFFF" w:themeColor="background1"/>
                    <w:bottom w:val="single" w:sz="48" w:space="0" w:color="FFFFFF" w:themeColor="background1"/>
                  </w:tcBorders>
                  <w:shd w:val="clear" w:color="auto" w:fill="365F91" w:themeFill="accent1" w:themeFillShade="BF"/>
                  <w:noWrap/>
                  <w:vAlign w:val="bottom"/>
                  <w:hideMark/>
                </w:tcPr>
                <w:p w:rsid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 </w:t>
                  </w:r>
                  <w:r w:rsidRPr="001A261D">
                    <w:rPr>
                      <w:rFonts w:ascii="Calibri" w:eastAsia="Times New Roman" w:hAnsi="Calibri" w:cs="Times New Roman"/>
                      <w:b/>
                      <w:bCs/>
                      <w:color w:val="FFFFFF" w:themeColor="background1"/>
                      <w:sz w:val="24"/>
                      <w:szCs w:val="24"/>
                    </w:rPr>
                    <w:t xml:space="preserve">2,4 </w:t>
                  </w:r>
                  <w:r w:rsidR="00D7412D">
                    <w:rPr>
                      <w:rFonts w:ascii="Calibri" w:eastAsia="Times New Roman" w:hAnsi="Calibri" w:cs="Times New Roman"/>
                      <w:b/>
                      <w:bCs/>
                      <w:color w:val="FFFFFF" w:themeColor="background1"/>
                      <w:sz w:val="24"/>
                      <w:szCs w:val="24"/>
                    </w:rPr>
                    <w:t xml:space="preserve">δισ. </w:t>
                  </w:r>
                  <w:r w:rsidRPr="00CA235F">
                    <w:rPr>
                      <w:rFonts w:ascii="Calibri" w:eastAsia="Times New Roman" w:hAnsi="Calibri" w:cs="Times New Roman"/>
                      <w:b/>
                      <w:bCs/>
                      <w:color w:val="FFFFFF" w:themeColor="background1"/>
                      <w:sz w:val="20"/>
                      <w:szCs w:val="20"/>
                    </w:rPr>
                    <w:t>**</w:t>
                  </w:r>
                </w:p>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44% κερδών</w:t>
                  </w:r>
                  <w:r w:rsidRPr="00CA235F">
                    <w:rPr>
                      <w:rFonts w:ascii="Calibri" w:eastAsia="Times New Roman" w:hAnsi="Calibri" w:cs="Times New Roman"/>
                      <w:b/>
                      <w:bCs/>
                      <w:color w:val="FFFFFF" w:themeColor="background1"/>
                      <w:sz w:val="20"/>
                      <w:szCs w:val="20"/>
                    </w:rPr>
                    <w:t>***</w:t>
                  </w:r>
                </w:p>
              </w:tc>
            </w:tr>
            <w:tr w:rsidR="006F1877" w:rsidRPr="001A261D" w:rsidTr="0005095E">
              <w:trPr>
                <w:trHeight w:val="20"/>
                <w:jc w:val="center"/>
              </w:trPr>
              <w:tc>
                <w:tcPr>
                  <w:tcW w:w="2410" w:type="dxa"/>
                  <w:tcBorders>
                    <w:top w:val="single" w:sz="48" w:space="0" w:color="FFFFFF" w:themeColor="background1"/>
                    <w:right w:val="single" w:sz="48" w:space="0" w:color="FFFFFF" w:themeColor="background1"/>
                  </w:tcBorders>
                  <w:shd w:val="clear" w:color="auto" w:fill="365F91" w:themeFill="accent1" w:themeFillShade="BF"/>
                  <w:noWrap/>
                  <w:vAlign w:val="bottom"/>
                  <w:hideMark/>
                </w:tcPr>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Εργαζόμενοι</w:t>
                  </w:r>
                </w:p>
              </w:tc>
              <w:tc>
                <w:tcPr>
                  <w:tcW w:w="2126" w:type="dxa"/>
                  <w:tcBorders>
                    <w:top w:val="single" w:sz="48" w:space="0" w:color="FFFFFF" w:themeColor="background1"/>
                    <w:left w:val="single" w:sz="48" w:space="0" w:color="FFFFFF" w:themeColor="background1"/>
                    <w:right w:val="single" w:sz="48" w:space="0" w:color="FFFFFF" w:themeColor="background1"/>
                  </w:tcBorders>
                  <w:shd w:val="clear" w:color="auto" w:fill="365F91" w:themeFill="accent1" w:themeFillShade="BF"/>
                  <w:noWrap/>
                  <w:vAlign w:val="bottom"/>
                  <w:hideMark/>
                </w:tcPr>
                <w:p w:rsidR="006F1877" w:rsidRP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Μισθοί</w:t>
                  </w:r>
                </w:p>
              </w:tc>
              <w:tc>
                <w:tcPr>
                  <w:tcW w:w="2268" w:type="dxa"/>
                  <w:tcBorders>
                    <w:top w:val="single" w:sz="48" w:space="0" w:color="FFFFFF" w:themeColor="background1"/>
                    <w:left w:val="single" w:sz="48" w:space="0" w:color="FFFFFF" w:themeColor="background1"/>
                    <w:right w:val="single" w:sz="48" w:space="0" w:color="FFFFFF" w:themeColor="background1"/>
                  </w:tcBorders>
                  <w:shd w:val="clear" w:color="auto" w:fill="365F91" w:themeFill="accent1" w:themeFillShade="BF"/>
                  <w:noWrap/>
                  <w:vAlign w:val="bottom"/>
                  <w:hideMark/>
                </w:tcPr>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Ασφ</w:t>
                  </w:r>
                  <w:r>
                    <w:rPr>
                      <w:rFonts w:ascii="Calibri" w:eastAsia="Times New Roman" w:hAnsi="Calibri" w:cs="Times New Roman"/>
                      <w:b/>
                      <w:bCs/>
                      <w:color w:val="FFFFFF" w:themeColor="background1"/>
                      <w:sz w:val="24"/>
                      <w:szCs w:val="24"/>
                    </w:rPr>
                    <w:t>αλ.</w:t>
                  </w:r>
                  <w:r w:rsidRPr="001A261D">
                    <w:rPr>
                      <w:rFonts w:ascii="Calibri" w:eastAsia="Times New Roman" w:hAnsi="Calibri" w:cs="Times New Roman"/>
                      <w:b/>
                      <w:bCs/>
                      <w:color w:val="FFFFFF" w:themeColor="background1"/>
                      <w:sz w:val="24"/>
                      <w:szCs w:val="24"/>
                    </w:rPr>
                    <w:t xml:space="preserve"> εισφορές   </w:t>
                  </w:r>
                </w:p>
              </w:tc>
              <w:tc>
                <w:tcPr>
                  <w:tcW w:w="2694" w:type="dxa"/>
                  <w:tcBorders>
                    <w:top w:val="single" w:sz="48" w:space="0" w:color="FFFFFF" w:themeColor="background1"/>
                    <w:left w:val="single" w:sz="48" w:space="0" w:color="FFFFFF" w:themeColor="background1"/>
                  </w:tcBorders>
                  <w:shd w:val="clear" w:color="auto" w:fill="365F91" w:themeFill="accent1" w:themeFillShade="BF"/>
                  <w:noWrap/>
                  <w:vAlign w:val="bottom"/>
                  <w:hideMark/>
                </w:tcPr>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Φόρος επί κ</w:t>
                  </w:r>
                  <w:r w:rsidRPr="001A261D">
                    <w:rPr>
                      <w:rFonts w:ascii="Calibri" w:eastAsia="Times New Roman" w:hAnsi="Calibri" w:cs="Times New Roman"/>
                      <w:b/>
                      <w:bCs/>
                      <w:color w:val="FFFFFF" w:themeColor="background1"/>
                      <w:sz w:val="24"/>
                      <w:szCs w:val="24"/>
                    </w:rPr>
                    <w:cr/>
                  </w:r>
                  <w:r w:rsidR="001A48B2">
                    <w:rPr>
                      <w:rFonts w:ascii="Calibri" w:eastAsia="Times New Roman" w:hAnsi="Calibri" w:cs="Times New Roman"/>
                      <w:b/>
                      <w:bCs/>
                      <w:color w:val="FFFFFF" w:themeColor="background1"/>
                      <w:sz w:val="24"/>
                      <w:szCs w:val="24"/>
                    </w:rPr>
                    <w:t>ε</w:t>
                  </w:r>
                  <w:r w:rsidRPr="001A261D">
                    <w:rPr>
                      <w:rFonts w:ascii="Calibri" w:eastAsia="Times New Roman" w:hAnsi="Calibri" w:cs="Times New Roman"/>
                      <w:b/>
                      <w:bCs/>
                      <w:color w:val="FFFFFF" w:themeColor="background1"/>
                      <w:sz w:val="24"/>
                      <w:szCs w:val="24"/>
                    </w:rPr>
                    <w:t>ρδών</w:t>
                  </w:r>
                </w:p>
              </w:tc>
            </w:tr>
            <w:tr w:rsidR="006F1877" w:rsidRPr="001A261D" w:rsidTr="0005095E">
              <w:trPr>
                <w:trHeight w:val="20"/>
                <w:jc w:val="center"/>
              </w:trPr>
              <w:tc>
                <w:tcPr>
                  <w:tcW w:w="2410" w:type="dxa"/>
                  <w:tcBorders>
                    <w:right w:val="single" w:sz="48" w:space="0" w:color="FFFFFF" w:themeColor="background1"/>
                  </w:tcBorders>
                  <w:shd w:val="clear" w:color="auto" w:fill="365F91" w:themeFill="accent1" w:themeFillShade="BF"/>
                  <w:noWrap/>
                  <w:vAlign w:val="bottom"/>
                  <w:hideMark/>
                </w:tcPr>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220.000</w:t>
                  </w:r>
                </w:p>
              </w:tc>
              <w:tc>
                <w:tcPr>
                  <w:tcW w:w="2126" w:type="dxa"/>
                  <w:tcBorders>
                    <w:left w:val="single" w:sz="48" w:space="0" w:color="FFFFFF" w:themeColor="background1"/>
                    <w:right w:val="single" w:sz="48" w:space="0" w:color="FFFFFF" w:themeColor="background1"/>
                  </w:tcBorders>
                  <w:shd w:val="clear" w:color="auto" w:fill="365F91" w:themeFill="accent1" w:themeFillShade="BF"/>
                  <w:noWrap/>
                  <w:vAlign w:val="bottom"/>
                  <w:hideMark/>
                </w:tcPr>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 xml:space="preserve">€ 4,6 </w:t>
                  </w:r>
                  <w:r w:rsidR="00D7412D">
                    <w:rPr>
                      <w:rFonts w:ascii="Calibri" w:eastAsia="Times New Roman" w:hAnsi="Calibri" w:cs="Times New Roman"/>
                      <w:b/>
                      <w:bCs/>
                      <w:color w:val="FFFFFF" w:themeColor="background1"/>
                      <w:sz w:val="24"/>
                      <w:szCs w:val="24"/>
                    </w:rPr>
                    <w:t xml:space="preserve">δισ. </w:t>
                  </w:r>
                </w:p>
              </w:tc>
              <w:tc>
                <w:tcPr>
                  <w:tcW w:w="2268" w:type="dxa"/>
                  <w:tcBorders>
                    <w:left w:val="single" w:sz="48" w:space="0" w:color="FFFFFF" w:themeColor="background1"/>
                    <w:right w:val="single" w:sz="48" w:space="0" w:color="FFFFFF" w:themeColor="background1"/>
                  </w:tcBorders>
                  <w:shd w:val="clear" w:color="auto" w:fill="365F91" w:themeFill="accent1" w:themeFillShade="BF"/>
                  <w:noWrap/>
                  <w:vAlign w:val="bottom"/>
                  <w:hideMark/>
                </w:tcPr>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 xml:space="preserve">€ 2 </w:t>
                  </w:r>
                  <w:r w:rsidR="00D7412D">
                    <w:rPr>
                      <w:rFonts w:ascii="Calibri" w:eastAsia="Times New Roman" w:hAnsi="Calibri" w:cs="Times New Roman"/>
                      <w:b/>
                      <w:bCs/>
                      <w:color w:val="FFFFFF" w:themeColor="background1"/>
                      <w:sz w:val="24"/>
                      <w:szCs w:val="24"/>
                    </w:rPr>
                    <w:t xml:space="preserve">δισ. </w:t>
                  </w:r>
                </w:p>
              </w:tc>
              <w:tc>
                <w:tcPr>
                  <w:tcW w:w="2694" w:type="dxa"/>
                  <w:tcBorders>
                    <w:left w:val="single" w:sz="48" w:space="0" w:color="FFFFFF" w:themeColor="background1"/>
                  </w:tcBorders>
                  <w:shd w:val="clear" w:color="auto" w:fill="365F91" w:themeFill="accent1" w:themeFillShade="BF"/>
                  <w:noWrap/>
                  <w:vAlign w:val="bottom"/>
                  <w:hideMark/>
                </w:tcPr>
                <w:p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 xml:space="preserve">€ 1,6 </w:t>
                  </w:r>
                  <w:r w:rsidR="00D7412D">
                    <w:rPr>
                      <w:rFonts w:ascii="Calibri" w:eastAsia="Times New Roman" w:hAnsi="Calibri" w:cs="Times New Roman"/>
                      <w:b/>
                      <w:bCs/>
                      <w:color w:val="FFFFFF" w:themeColor="background1"/>
                      <w:sz w:val="24"/>
                      <w:szCs w:val="24"/>
                    </w:rPr>
                    <w:t xml:space="preserve">δισ. </w:t>
                  </w:r>
                </w:p>
              </w:tc>
            </w:tr>
          </w:tbl>
          <w:p w:rsidR="0005095E" w:rsidRPr="00A01DE5" w:rsidRDefault="0005095E" w:rsidP="00193E93">
            <w:pPr>
              <w:ind w:left="426" w:right="543"/>
              <w:jc w:val="both"/>
              <w:rPr>
                <w:rFonts w:eastAsia="Times New Roman" w:cs="Times New Roman"/>
                <w:bCs/>
                <w:color w:val="1F497D" w:themeColor="text2"/>
                <w:sz w:val="12"/>
                <w:szCs w:val="12"/>
              </w:rPr>
            </w:pPr>
          </w:p>
          <w:p w:rsidR="006F1877" w:rsidRPr="009E1B84" w:rsidRDefault="006F1877" w:rsidP="00193E93">
            <w:pPr>
              <w:ind w:left="426" w:right="543"/>
              <w:jc w:val="both"/>
              <w:rPr>
                <w:rFonts w:eastAsia="Times New Roman" w:cs="Times New Roman"/>
                <w:bCs/>
                <w:color w:val="1F497D" w:themeColor="text2"/>
                <w:sz w:val="14"/>
                <w:szCs w:val="14"/>
              </w:rPr>
            </w:pPr>
            <w:r w:rsidRPr="009E1B84">
              <w:rPr>
                <w:rFonts w:eastAsia="Times New Roman" w:cs="Times New Roman"/>
                <w:bCs/>
                <w:color w:val="1F497D" w:themeColor="text2"/>
                <w:sz w:val="14"/>
                <w:szCs w:val="14"/>
              </w:rPr>
              <w:t>* Άθροισμα δημοσιευμένων ισολογισμών ΑΕ και ΕΠΕ</w:t>
            </w:r>
          </w:p>
          <w:p w:rsidR="006F1877" w:rsidRPr="009E1B84" w:rsidRDefault="006F1877" w:rsidP="00193E93">
            <w:pPr>
              <w:ind w:left="426" w:right="543"/>
              <w:rPr>
                <w:rFonts w:eastAsia="Times New Roman" w:cs="Times New Roman"/>
                <w:bCs/>
                <w:color w:val="1F497D" w:themeColor="text2"/>
                <w:sz w:val="14"/>
                <w:szCs w:val="14"/>
              </w:rPr>
            </w:pPr>
            <w:r w:rsidRPr="009E1B84">
              <w:rPr>
                <w:rFonts w:eastAsia="Times New Roman" w:cs="Times New Roman"/>
                <w:bCs/>
                <w:color w:val="1F497D" w:themeColor="text2"/>
                <w:sz w:val="14"/>
                <w:szCs w:val="14"/>
              </w:rPr>
              <w:t>** Άθροισμα κερδών και ζημιών όλων των επιχειρήσεων</w:t>
            </w:r>
          </w:p>
          <w:p w:rsidR="006F1877" w:rsidRPr="009E1B84" w:rsidRDefault="006F1877" w:rsidP="00193E93">
            <w:pPr>
              <w:ind w:left="426"/>
              <w:rPr>
                <w:rFonts w:eastAsia="Times New Roman" w:cs="Times New Roman"/>
                <w:bCs/>
                <w:color w:val="1F497D" w:themeColor="text2"/>
                <w:sz w:val="14"/>
                <w:szCs w:val="14"/>
                <w:lang w:val="en-US"/>
              </w:rPr>
            </w:pPr>
            <w:r w:rsidRPr="009E1B84">
              <w:rPr>
                <w:rFonts w:eastAsia="Times New Roman" w:cs="Times New Roman"/>
                <w:bCs/>
                <w:color w:val="1F497D" w:themeColor="text2"/>
                <w:sz w:val="14"/>
                <w:szCs w:val="14"/>
              </w:rPr>
              <w:t>*** Φορολογητέα κέρδη κερδοφόρων επιχειρήσεων</w:t>
            </w:r>
          </w:p>
          <w:p w:rsidR="006F1877" w:rsidRPr="006F1877" w:rsidRDefault="006F1877" w:rsidP="00193E93">
            <w:pPr>
              <w:ind w:left="709"/>
              <w:rPr>
                <w:noProof/>
                <w:lang w:val="en-US"/>
              </w:rPr>
            </w:pPr>
          </w:p>
        </w:tc>
      </w:tr>
      <w:tr w:rsidR="006F1877" w:rsidTr="0028614B">
        <w:trPr>
          <w:trHeight w:val="1503"/>
        </w:trPr>
        <w:tc>
          <w:tcPr>
            <w:tcW w:w="10389" w:type="dxa"/>
            <w:gridSpan w:val="2"/>
          </w:tcPr>
          <w:p w:rsidR="00193E93" w:rsidRDefault="0005095E" w:rsidP="00193E93">
            <w:pPr>
              <w:spacing w:after="120"/>
              <w:ind w:left="284" w:right="249"/>
              <w:jc w:val="both"/>
              <w:rPr>
                <w:rStyle w:val="a7"/>
                <w:color w:val="4F81BD" w:themeColor="accent1"/>
                <w:sz w:val="24"/>
                <w:szCs w:val="24"/>
              </w:rPr>
            </w:pPr>
            <w:r w:rsidRPr="009859E6">
              <w:rPr>
                <w:rStyle w:val="a7"/>
                <w:color w:val="4F81BD" w:themeColor="accent1"/>
                <w:sz w:val="24"/>
                <w:szCs w:val="24"/>
              </w:rPr>
              <w:t>Όραμα</w:t>
            </w:r>
          </w:p>
          <w:p w:rsidR="0005095E" w:rsidRPr="00FA7C82" w:rsidRDefault="0005095E" w:rsidP="00F37D15">
            <w:pPr>
              <w:spacing w:after="120"/>
              <w:ind w:left="284" w:right="249"/>
              <w:jc w:val="both"/>
              <w:rPr>
                <w:sz w:val="18"/>
                <w:szCs w:val="18"/>
              </w:rPr>
            </w:pPr>
            <w:r w:rsidRPr="00FA7C82">
              <w:rPr>
                <w:sz w:val="18"/>
                <w:szCs w:val="18"/>
              </w:rPr>
              <w:t xml:space="preserve">Οραματιζόμαστε την Ελλάδα ως τη χώρα, που κάθε πολίτης του κόσμου θα θέλει και θα μπορεί να επισκεφθεί, να ζήσει και να επενδύσει. </w:t>
            </w:r>
            <w:r w:rsidRPr="00FA7C82">
              <w:rPr>
                <w:sz w:val="18"/>
                <w:szCs w:val="18"/>
              </w:rPr>
              <w:br/>
              <w:t>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w:t>
            </w:r>
          </w:p>
          <w:p w:rsidR="0005095E" w:rsidRPr="00FA7C82" w:rsidRDefault="0005095E" w:rsidP="00193E93">
            <w:pPr>
              <w:ind w:left="284" w:right="250"/>
              <w:jc w:val="both"/>
              <w:rPr>
                <w:sz w:val="18"/>
                <w:szCs w:val="18"/>
              </w:rPr>
            </w:pPr>
            <w:r w:rsidRPr="00FA7C82">
              <w:rPr>
                <w:sz w:val="18"/>
                <w:szCs w:val="18"/>
              </w:rPr>
              <w:t>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w:t>
            </w:r>
          </w:p>
          <w:p w:rsidR="00193E93" w:rsidRDefault="0005095E" w:rsidP="00193E93">
            <w:pPr>
              <w:spacing w:after="120"/>
              <w:ind w:left="284" w:right="249"/>
              <w:jc w:val="both"/>
              <w:rPr>
                <w:rStyle w:val="a7"/>
                <w:color w:val="4F81BD" w:themeColor="accent1"/>
                <w:sz w:val="24"/>
                <w:szCs w:val="24"/>
              </w:rPr>
            </w:pPr>
            <w:r w:rsidRPr="0005095E">
              <w:rPr>
                <w:color w:val="595959" w:themeColor="text1" w:themeTint="A6"/>
                <w:sz w:val="18"/>
                <w:szCs w:val="18"/>
              </w:rPr>
              <w:br/>
            </w:r>
            <w:r w:rsidRPr="009859E6">
              <w:rPr>
                <w:rStyle w:val="a7"/>
                <w:color w:val="4F81BD" w:themeColor="accent1"/>
                <w:sz w:val="24"/>
                <w:szCs w:val="24"/>
              </w:rPr>
              <w:t>Αποστολή</w:t>
            </w:r>
          </w:p>
          <w:p w:rsidR="0005095E" w:rsidRPr="00FA7C82" w:rsidRDefault="0005095E" w:rsidP="00193E93">
            <w:pPr>
              <w:ind w:left="284" w:right="249"/>
              <w:jc w:val="both"/>
              <w:rPr>
                <w:rStyle w:val="a7"/>
                <w:sz w:val="18"/>
                <w:szCs w:val="18"/>
              </w:rPr>
            </w:pPr>
            <w:r w:rsidRPr="00FA7C82">
              <w:rPr>
                <w:rStyle w:val="a7"/>
                <w:sz w:val="18"/>
                <w:szCs w:val="18"/>
              </w:rPr>
              <w:t>Ηγεσία &amp; Γνώση</w:t>
            </w:r>
          </w:p>
          <w:p w:rsidR="0005095E" w:rsidRPr="00FA7C82" w:rsidRDefault="0005095E" w:rsidP="00193E93">
            <w:pPr>
              <w:ind w:left="284" w:right="249"/>
              <w:jc w:val="both"/>
              <w:rPr>
                <w:sz w:val="18"/>
                <w:szCs w:val="18"/>
              </w:rPr>
            </w:pPr>
            <w:r w:rsidRPr="00FA7C82">
              <w:rPr>
                <w:sz w:val="18"/>
                <w:szCs w:val="18"/>
              </w:rPr>
              <w:t>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w:t>
            </w:r>
          </w:p>
          <w:p w:rsidR="0005095E" w:rsidRPr="00FA7C82" w:rsidRDefault="0005095E" w:rsidP="00193E93">
            <w:pPr>
              <w:spacing w:before="120"/>
              <w:ind w:left="284" w:right="249"/>
              <w:jc w:val="both"/>
              <w:rPr>
                <w:rStyle w:val="a7"/>
                <w:sz w:val="18"/>
                <w:szCs w:val="18"/>
              </w:rPr>
            </w:pPr>
            <w:r w:rsidRPr="00FA7C82">
              <w:rPr>
                <w:rStyle w:val="a7"/>
                <w:sz w:val="18"/>
                <w:szCs w:val="18"/>
              </w:rPr>
              <w:t>Κοινωνικός Εταίρος</w:t>
            </w:r>
          </w:p>
          <w:p w:rsidR="0005095E" w:rsidRPr="00FA7C82" w:rsidRDefault="0005095E" w:rsidP="00193E93">
            <w:pPr>
              <w:ind w:left="284" w:right="249"/>
              <w:jc w:val="both"/>
              <w:rPr>
                <w:sz w:val="18"/>
                <w:szCs w:val="18"/>
              </w:rPr>
            </w:pPr>
            <w:r w:rsidRPr="00FA7C82">
              <w:rPr>
                <w:sz w:val="18"/>
                <w:szCs w:val="18"/>
              </w:rPr>
              <w:t>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w:t>
            </w:r>
          </w:p>
          <w:p w:rsidR="0005095E" w:rsidRPr="00FA7C82" w:rsidRDefault="0005095E" w:rsidP="00193E93">
            <w:pPr>
              <w:spacing w:before="120"/>
              <w:ind w:left="284" w:right="249"/>
              <w:jc w:val="both"/>
              <w:rPr>
                <w:rStyle w:val="a7"/>
                <w:sz w:val="18"/>
                <w:szCs w:val="18"/>
              </w:rPr>
            </w:pPr>
            <w:r w:rsidRPr="00FA7C82">
              <w:rPr>
                <w:rStyle w:val="a7"/>
                <w:sz w:val="18"/>
                <w:szCs w:val="18"/>
              </w:rPr>
              <w:t>Ισχυρός Εκπρόσωπος</w:t>
            </w:r>
          </w:p>
          <w:p w:rsidR="0005095E" w:rsidRPr="00FA7C82" w:rsidRDefault="0005095E" w:rsidP="00193E93">
            <w:pPr>
              <w:ind w:left="284" w:right="249"/>
              <w:jc w:val="both"/>
              <w:rPr>
                <w:sz w:val="18"/>
                <w:szCs w:val="18"/>
              </w:rPr>
            </w:pPr>
            <w:r w:rsidRPr="00FA7C82">
              <w:rPr>
                <w:sz w:val="18"/>
                <w:szCs w:val="18"/>
              </w:rPr>
              <w:t>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w:t>
            </w:r>
          </w:p>
          <w:p w:rsidR="0005095E" w:rsidRPr="00FA7C82" w:rsidRDefault="0005095E" w:rsidP="00193E93">
            <w:pPr>
              <w:spacing w:before="120"/>
              <w:ind w:left="284" w:right="249"/>
              <w:jc w:val="both"/>
              <w:rPr>
                <w:rStyle w:val="a7"/>
                <w:sz w:val="18"/>
                <w:szCs w:val="18"/>
              </w:rPr>
            </w:pPr>
            <w:r w:rsidRPr="00FA7C82">
              <w:rPr>
                <w:rStyle w:val="a7"/>
                <w:sz w:val="18"/>
                <w:szCs w:val="18"/>
              </w:rPr>
              <w:t>Φορέας Δικτύωσης</w:t>
            </w:r>
          </w:p>
          <w:p w:rsidR="006F1877" w:rsidRPr="0005095E" w:rsidRDefault="0005095E" w:rsidP="00193E93">
            <w:pPr>
              <w:ind w:left="284" w:right="249"/>
              <w:jc w:val="both"/>
              <w:rPr>
                <w:noProof/>
              </w:rPr>
            </w:pPr>
            <w:r w:rsidRPr="00FA7C82">
              <w:rPr>
                <w:sz w:val="18"/>
                <w:szCs w:val="18"/>
              </w:rPr>
              <w:t>Ο ΣΕΒ δικτυώνει τα μέλη του μεταξύ τους &amp; με τα κέντρα αποφάσεων (εγχώρια και διεθνή), με στόχο τη δημιουργία προστιθέμενης αξίας.</w:t>
            </w:r>
          </w:p>
        </w:tc>
      </w:tr>
      <w:tr w:rsidR="00A22DBD" w:rsidTr="0028614B">
        <w:trPr>
          <w:trHeight w:val="1503"/>
        </w:trPr>
        <w:tc>
          <w:tcPr>
            <w:tcW w:w="10389" w:type="dxa"/>
            <w:gridSpan w:val="2"/>
          </w:tcPr>
          <w:p w:rsidR="00A22DBD" w:rsidRDefault="00E45264" w:rsidP="00193E93">
            <w:r>
              <w:rPr>
                <w:noProof/>
              </w:rPr>
              <mc:AlternateContent>
                <mc:Choice Requires="wps">
                  <w:drawing>
                    <wp:anchor distT="4294967291" distB="4294967291" distL="114300" distR="114300" simplePos="0" relativeHeight="251658240" behindDoc="0" locked="0" layoutInCell="1" allowOverlap="1">
                      <wp:simplePos x="0" y="0"/>
                      <wp:positionH relativeFrom="margin">
                        <wp:align>center</wp:align>
                      </wp:positionH>
                      <wp:positionV relativeFrom="paragraph">
                        <wp:posOffset>913764</wp:posOffset>
                      </wp:positionV>
                      <wp:extent cx="3456305" cy="0"/>
                      <wp:effectExtent l="0" t="0" r="1079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6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9" o:spid="_x0000_s1026" style="position:absolute;z-index:25165824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margin;mso-height-relative:page" from="0,71.95pt" to="272.1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" strokecolor="black [3213]">
                      <o:lock v:ext="edit" shapetype="f"/>
                      <w10:wrap anchorx="margin"/>
                    </v:line>
                  </w:pict>
                </mc:Fallback>
              </mc:AlternateContent>
            </w:r>
            <w:r w:rsidR="00A22DBD">
              <w:rPr>
                <w:noProof/>
              </w:rPr>
              <w:drawing>
                <wp:anchor distT="0" distB="0" distL="114300" distR="114300" simplePos="0" relativeHeight="251659776" behindDoc="1" locked="0" layoutInCell="1" allowOverlap="0">
                  <wp:simplePos x="0" y="0"/>
                  <wp:positionH relativeFrom="margin">
                    <wp:align>center</wp:align>
                  </wp:positionH>
                  <wp:positionV relativeFrom="page">
                    <wp:posOffset>59690</wp:posOffset>
                  </wp:positionV>
                  <wp:extent cx="1908000" cy="856800"/>
                  <wp:effectExtent l="0" t="0" r="0" b="0"/>
                  <wp:wrapThrough wrapText="bothSides">
                    <wp:wrapPolygon edited="0">
                      <wp:start x="3667" y="0"/>
                      <wp:lineTo x="2373" y="961"/>
                      <wp:lineTo x="647" y="5764"/>
                      <wp:lineTo x="216" y="16332"/>
                      <wp:lineTo x="647" y="18254"/>
                      <wp:lineTo x="1510" y="19214"/>
                      <wp:lineTo x="14884" y="19214"/>
                      <wp:lineTo x="20277" y="18254"/>
                      <wp:lineTo x="21356" y="17773"/>
                      <wp:lineTo x="19630" y="8646"/>
                      <wp:lineTo x="20277" y="5284"/>
                      <wp:lineTo x="18983" y="4323"/>
                      <wp:lineTo x="4746" y="0"/>
                      <wp:lineTo x="3667" y="0"/>
                    </wp:wrapPolygon>
                  </wp:wrapThrough>
                  <wp:docPr id="27" name="Picture 27" descr="gr_epist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epist_top"/>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5956" t="15077" r="60742" b="20103"/>
                          <a:stretch>
                            <a:fillRect/>
                          </a:stretch>
                        </pic:blipFill>
                        <pic:spPr bwMode="auto">
                          <a:xfrm>
                            <a:off x="0" y="0"/>
                            <a:ext cx="1908000" cy="856800"/>
                          </a:xfrm>
                          <a:prstGeom prst="rect">
                            <a:avLst/>
                          </a:prstGeom>
                          <a:noFill/>
                          <a:ln>
                            <a:noFill/>
                          </a:ln>
                        </pic:spPr>
                      </pic:pic>
                    </a:graphicData>
                  </a:graphic>
                </wp:anchor>
              </w:drawing>
            </w:r>
          </w:p>
        </w:tc>
      </w:tr>
      <w:tr w:rsidR="00A22DBD" w:rsidTr="0028614B">
        <w:tc>
          <w:tcPr>
            <w:tcW w:w="10389" w:type="dxa"/>
            <w:gridSpan w:val="2"/>
          </w:tcPr>
          <w:p w:rsidR="00A22DBD" w:rsidRPr="0028614B" w:rsidRDefault="00BD2E2B" w:rsidP="00193E93">
            <w:pPr>
              <w:jc w:val="center"/>
              <w:rPr>
                <w:b/>
                <w:color w:val="595959" w:themeColor="text1" w:themeTint="A6"/>
                <w:sz w:val="24"/>
                <w:szCs w:val="24"/>
              </w:rPr>
            </w:pPr>
            <w:r w:rsidRPr="0005095E">
              <w:rPr>
                <w:b/>
                <w:color w:val="595959" w:themeColor="text1" w:themeTint="A6"/>
                <w:sz w:val="24"/>
                <w:szCs w:val="24"/>
              </w:rPr>
              <w:t>ΣΕΒ σύνδεσμος επιχειρήσεων και βιομηχανιών</w:t>
            </w:r>
          </w:p>
          <w:p w:rsidR="00BD2E2B" w:rsidRPr="0028614B" w:rsidRDefault="00BD2E2B" w:rsidP="00193E93">
            <w:pPr>
              <w:jc w:val="center"/>
              <w:rPr>
                <w:b/>
                <w:color w:val="595959" w:themeColor="text1" w:themeTint="A6"/>
                <w:sz w:val="18"/>
                <w:szCs w:val="18"/>
              </w:rPr>
            </w:pPr>
          </w:p>
        </w:tc>
      </w:tr>
      <w:tr w:rsidR="00F37D15" w:rsidRPr="005E5E26" w:rsidTr="0028614B">
        <w:trPr>
          <w:trHeight w:val="1329"/>
        </w:trPr>
        <w:tc>
          <w:tcPr>
            <w:tcW w:w="5197" w:type="dxa"/>
          </w:tcPr>
          <w:p w:rsidR="00F37D15" w:rsidRDefault="00F37D15" w:rsidP="00F37D15">
            <w:pPr>
              <w:ind w:left="-142" w:firstLine="1559"/>
              <w:rPr>
                <w:b/>
                <w:color w:val="595959" w:themeColor="text1" w:themeTint="A6"/>
                <w:sz w:val="18"/>
                <w:szCs w:val="18"/>
              </w:rPr>
            </w:pPr>
            <w:r>
              <w:rPr>
                <w:b/>
                <w:color w:val="595959" w:themeColor="text1" w:themeTint="A6"/>
                <w:sz w:val="18"/>
                <w:szCs w:val="18"/>
              </w:rPr>
              <w:t>ΣΕΒ σύνδεσμος επιχειρήσεων και βιομηχανιών</w:t>
            </w:r>
          </w:p>
          <w:p w:rsidR="00F37D15" w:rsidRDefault="00F37D15" w:rsidP="00F37D15">
            <w:pPr>
              <w:ind w:left="-142" w:firstLine="1560"/>
              <w:rPr>
                <w:color w:val="595959" w:themeColor="text1" w:themeTint="A6"/>
                <w:sz w:val="18"/>
                <w:szCs w:val="18"/>
              </w:rPr>
            </w:pPr>
            <w:r>
              <w:rPr>
                <w:color w:val="595959" w:themeColor="text1" w:themeTint="A6"/>
                <w:sz w:val="18"/>
                <w:szCs w:val="18"/>
              </w:rPr>
              <w:t>Ξενοφώντος 5, 105 57 Αθήνα</w:t>
            </w:r>
          </w:p>
          <w:p w:rsidR="00F37D15" w:rsidRDefault="00F37D15" w:rsidP="00F37D15">
            <w:pPr>
              <w:ind w:left="-142" w:firstLine="1560"/>
              <w:rPr>
                <w:color w:val="595959" w:themeColor="text1" w:themeTint="A6"/>
                <w:sz w:val="18"/>
                <w:szCs w:val="18"/>
              </w:rPr>
            </w:pPr>
            <w:r>
              <w:rPr>
                <w:color w:val="595959" w:themeColor="text1" w:themeTint="A6"/>
                <w:sz w:val="18"/>
                <w:szCs w:val="18"/>
              </w:rPr>
              <w:t>Τ: 211 5006 000</w:t>
            </w:r>
          </w:p>
          <w:p w:rsidR="00F37D15" w:rsidRDefault="00F37D15" w:rsidP="00F37D15">
            <w:pPr>
              <w:ind w:left="-142" w:firstLine="1560"/>
              <w:rPr>
                <w:color w:val="595959" w:themeColor="text1" w:themeTint="A6"/>
                <w:sz w:val="18"/>
                <w:szCs w:val="18"/>
              </w:rPr>
            </w:pPr>
            <w:r>
              <w:rPr>
                <w:color w:val="595959" w:themeColor="text1" w:themeTint="A6"/>
                <w:sz w:val="18"/>
                <w:szCs w:val="18"/>
                <w:lang w:val="en-US"/>
              </w:rPr>
              <w:t>F</w:t>
            </w:r>
            <w:r>
              <w:rPr>
                <w:color w:val="595959" w:themeColor="text1" w:themeTint="A6"/>
                <w:sz w:val="18"/>
                <w:szCs w:val="18"/>
              </w:rPr>
              <w:t>: 210 3222 929</w:t>
            </w:r>
          </w:p>
          <w:p w:rsidR="00F37D15" w:rsidRDefault="00F37D15" w:rsidP="00F37D15">
            <w:pPr>
              <w:ind w:left="-142" w:firstLine="1560"/>
              <w:rPr>
                <w:color w:val="595959" w:themeColor="text1" w:themeTint="A6"/>
                <w:sz w:val="18"/>
                <w:szCs w:val="18"/>
              </w:rPr>
            </w:pPr>
            <w:r>
              <w:rPr>
                <w:color w:val="595959" w:themeColor="text1" w:themeTint="A6"/>
                <w:sz w:val="18"/>
                <w:szCs w:val="18"/>
              </w:rPr>
              <w:t xml:space="preserve">Ε: </w:t>
            </w:r>
            <w:hyperlink r:id="rId47" w:history="1">
              <w:r w:rsidR="001E49F6" w:rsidRPr="00775753">
                <w:rPr>
                  <w:rStyle w:val="-"/>
                  <w:sz w:val="18"/>
                  <w:szCs w:val="18"/>
                  <w:lang w:val="en-US"/>
                </w:rPr>
                <w:t>info</w:t>
              </w:r>
              <w:r w:rsidR="001E49F6" w:rsidRPr="00775753">
                <w:rPr>
                  <w:rStyle w:val="-"/>
                  <w:sz w:val="18"/>
                  <w:szCs w:val="18"/>
                </w:rPr>
                <w:t>@</w:t>
              </w:r>
              <w:r w:rsidR="001E49F6" w:rsidRPr="00775753">
                <w:rPr>
                  <w:rStyle w:val="-"/>
                  <w:sz w:val="18"/>
                  <w:szCs w:val="18"/>
                  <w:lang w:val="en-US"/>
                </w:rPr>
                <w:t>sev</w:t>
              </w:r>
              <w:r w:rsidR="001E49F6" w:rsidRPr="00775753">
                <w:rPr>
                  <w:rStyle w:val="-"/>
                  <w:sz w:val="18"/>
                  <w:szCs w:val="18"/>
                </w:rPr>
                <w:t>.</w:t>
              </w:r>
              <w:r w:rsidR="001E49F6" w:rsidRPr="00775753">
                <w:rPr>
                  <w:rStyle w:val="-"/>
                  <w:sz w:val="18"/>
                  <w:szCs w:val="18"/>
                  <w:lang w:val="en-US"/>
                </w:rPr>
                <w:t>org</w:t>
              </w:r>
              <w:r w:rsidR="001E49F6" w:rsidRPr="00775753">
                <w:rPr>
                  <w:rStyle w:val="-"/>
                  <w:sz w:val="18"/>
                  <w:szCs w:val="18"/>
                </w:rPr>
                <w:t>.</w:t>
              </w:r>
              <w:r w:rsidR="001E49F6" w:rsidRPr="00775753">
                <w:rPr>
                  <w:rStyle w:val="-"/>
                  <w:sz w:val="18"/>
                  <w:szCs w:val="18"/>
                  <w:lang w:val="en-US"/>
                </w:rPr>
                <w:t>gr</w:t>
              </w:r>
            </w:hyperlink>
          </w:p>
          <w:p w:rsidR="00F37D15" w:rsidRDefault="004765C4" w:rsidP="00F37D15">
            <w:pPr>
              <w:ind w:left="-142" w:firstLine="1560"/>
              <w:rPr>
                <w:color w:val="595959" w:themeColor="text1" w:themeTint="A6"/>
                <w:sz w:val="18"/>
                <w:szCs w:val="18"/>
              </w:rPr>
            </w:pPr>
            <w:hyperlink r:id="rId48" w:history="1">
              <w:r w:rsidR="00F37D15">
                <w:rPr>
                  <w:rStyle w:val="-"/>
                  <w:sz w:val="18"/>
                  <w:szCs w:val="18"/>
                  <w:lang w:val="en-US"/>
                </w:rPr>
                <w:t>www</w:t>
              </w:r>
              <w:r w:rsidR="00F37D15">
                <w:rPr>
                  <w:rStyle w:val="-"/>
                  <w:sz w:val="18"/>
                  <w:szCs w:val="18"/>
                </w:rPr>
                <w:t>.</w:t>
              </w:r>
              <w:r w:rsidR="00F37D15">
                <w:rPr>
                  <w:rStyle w:val="-"/>
                  <w:sz w:val="18"/>
                  <w:szCs w:val="18"/>
                  <w:lang w:val="en-US"/>
                </w:rPr>
                <w:t>sev</w:t>
              </w:r>
              <w:r w:rsidR="00F37D15">
                <w:rPr>
                  <w:rStyle w:val="-"/>
                  <w:sz w:val="18"/>
                  <w:szCs w:val="18"/>
                </w:rPr>
                <w:t>.</w:t>
              </w:r>
              <w:r w:rsidR="00F37D15">
                <w:rPr>
                  <w:rStyle w:val="-"/>
                  <w:sz w:val="18"/>
                  <w:szCs w:val="18"/>
                  <w:lang w:val="en-US"/>
                </w:rPr>
                <w:t>org</w:t>
              </w:r>
              <w:r w:rsidR="00F37D15">
                <w:rPr>
                  <w:rStyle w:val="-"/>
                  <w:sz w:val="18"/>
                  <w:szCs w:val="18"/>
                </w:rPr>
                <w:t>.</w:t>
              </w:r>
              <w:r w:rsidR="00F37D15">
                <w:rPr>
                  <w:rStyle w:val="-"/>
                  <w:sz w:val="18"/>
                  <w:szCs w:val="18"/>
                  <w:lang w:val="en-US"/>
                </w:rPr>
                <w:t>gr</w:t>
              </w:r>
            </w:hyperlink>
          </w:p>
        </w:tc>
        <w:tc>
          <w:tcPr>
            <w:tcW w:w="5192" w:type="dxa"/>
          </w:tcPr>
          <w:p w:rsidR="00F37D15" w:rsidRDefault="00F37D15" w:rsidP="00F37D15">
            <w:pPr>
              <w:ind w:firstLine="899"/>
              <w:rPr>
                <w:b/>
                <w:color w:val="595959" w:themeColor="text1" w:themeTint="A6"/>
                <w:sz w:val="18"/>
                <w:szCs w:val="18"/>
                <w:lang w:val="en-US"/>
              </w:rPr>
            </w:pPr>
            <w:r>
              <w:rPr>
                <w:b/>
                <w:color w:val="595959" w:themeColor="text1" w:themeTint="A6"/>
                <w:sz w:val="18"/>
                <w:szCs w:val="18"/>
                <w:lang w:val="en-US"/>
              </w:rPr>
              <w:t>SEV Hellenic Federation of Enterprises</w:t>
            </w:r>
          </w:p>
          <w:p w:rsidR="00F37D15" w:rsidRDefault="00F37D15" w:rsidP="00F37D15">
            <w:pPr>
              <w:ind w:firstLine="899"/>
              <w:rPr>
                <w:color w:val="595959" w:themeColor="text1" w:themeTint="A6"/>
                <w:sz w:val="18"/>
                <w:szCs w:val="18"/>
                <w:lang w:val="en-US"/>
              </w:rPr>
            </w:pPr>
            <w:r>
              <w:rPr>
                <w:color w:val="595959" w:themeColor="text1" w:themeTint="A6"/>
                <w:sz w:val="18"/>
                <w:szCs w:val="18"/>
                <w:lang w:val="en-US"/>
              </w:rPr>
              <w:t>168, Avenue de Cortenbergh</w:t>
            </w:r>
          </w:p>
          <w:p w:rsidR="00F37D15" w:rsidRDefault="00F37D15" w:rsidP="00F37D15">
            <w:pPr>
              <w:ind w:firstLine="899"/>
              <w:rPr>
                <w:color w:val="595959" w:themeColor="text1" w:themeTint="A6"/>
                <w:sz w:val="18"/>
                <w:szCs w:val="18"/>
                <w:lang w:val="de-AT"/>
              </w:rPr>
            </w:pPr>
            <w:r>
              <w:rPr>
                <w:color w:val="595959" w:themeColor="text1" w:themeTint="A6"/>
                <w:sz w:val="18"/>
                <w:szCs w:val="18"/>
                <w:lang w:val="de-AT"/>
              </w:rPr>
              <w:t>B-1000 Bruxelles</w:t>
            </w:r>
          </w:p>
          <w:p w:rsidR="00F37D15" w:rsidRDefault="00F37D15" w:rsidP="00F37D15">
            <w:pPr>
              <w:ind w:firstLine="899"/>
              <w:rPr>
                <w:color w:val="5F5F5F"/>
                <w:sz w:val="18"/>
                <w:szCs w:val="18"/>
                <w:lang w:val="de-AT"/>
              </w:rPr>
            </w:pPr>
            <w:r>
              <w:rPr>
                <w:rFonts w:cs="Arial"/>
                <w:bCs/>
                <w:color w:val="5F5F5F"/>
                <w:sz w:val="18"/>
                <w:szCs w:val="18"/>
                <w:lang w:val="fr-BE"/>
              </w:rPr>
              <w:t>M:</w:t>
            </w:r>
            <w:r>
              <w:rPr>
                <w:rFonts w:cs="Arial"/>
                <w:color w:val="5F5F5F"/>
                <w:sz w:val="18"/>
                <w:szCs w:val="18"/>
                <w:lang w:val="fr-BE"/>
              </w:rPr>
              <w:t xml:space="preserve"> +32 (0) 494 46 95 24</w:t>
            </w:r>
          </w:p>
          <w:p w:rsidR="00F37D15" w:rsidRDefault="00F37D15" w:rsidP="00F37D15">
            <w:pPr>
              <w:ind w:firstLine="899"/>
              <w:rPr>
                <w:color w:val="595959" w:themeColor="text1" w:themeTint="A6"/>
                <w:sz w:val="18"/>
                <w:szCs w:val="18"/>
                <w:lang w:val="de-AT"/>
              </w:rPr>
            </w:pPr>
            <w:r>
              <w:rPr>
                <w:color w:val="595959" w:themeColor="text1" w:themeTint="A6"/>
                <w:sz w:val="18"/>
                <w:szCs w:val="18"/>
                <w:lang w:val="de-AT"/>
              </w:rPr>
              <w:t xml:space="preserve">E: </w:t>
            </w:r>
            <w:hyperlink r:id="rId49" w:history="1">
              <w:r w:rsidRPr="008674C5">
                <w:rPr>
                  <w:rStyle w:val="-"/>
                  <w:sz w:val="16"/>
                  <w:szCs w:val="16"/>
                  <w:lang w:val="de-AT"/>
                </w:rPr>
                <w:t>sevbrussels@</w:t>
              </w:r>
              <w:r>
                <w:rPr>
                  <w:rStyle w:val="-"/>
                  <w:sz w:val="16"/>
                  <w:szCs w:val="16"/>
                  <w:lang w:val="fr-BE"/>
                </w:rPr>
                <w:t>proximus</w:t>
              </w:r>
              <w:r w:rsidRPr="008674C5">
                <w:rPr>
                  <w:rStyle w:val="-"/>
                  <w:sz w:val="16"/>
                  <w:szCs w:val="16"/>
                  <w:lang w:val="de-AT"/>
                </w:rPr>
                <w:t>.</w:t>
              </w:r>
              <w:r>
                <w:rPr>
                  <w:rStyle w:val="-"/>
                  <w:sz w:val="16"/>
                  <w:szCs w:val="16"/>
                  <w:lang w:val="fr-BE"/>
                </w:rPr>
                <w:t>be</w:t>
              </w:r>
            </w:hyperlink>
          </w:p>
        </w:tc>
      </w:tr>
      <w:tr w:rsidR="0028614B" w:rsidRPr="00FA0EE8" w:rsidTr="0028614B">
        <w:trPr>
          <w:trHeight w:val="558"/>
        </w:trPr>
        <w:tc>
          <w:tcPr>
            <w:tcW w:w="10389" w:type="dxa"/>
            <w:gridSpan w:val="2"/>
          </w:tcPr>
          <w:p w:rsidR="00F37D15" w:rsidRDefault="00F37D15" w:rsidP="00F37D15">
            <w:pPr>
              <w:spacing w:after="120"/>
              <w:jc w:val="center"/>
              <w:rPr>
                <w:rFonts w:ascii="Times New Roman" w:eastAsia="Calibri" w:hAnsi="Times New Roman" w:cs="Times New Roman"/>
                <w:sz w:val="18"/>
                <w:szCs w:val="18"/>
              </w:rPr>
            </w:pPr>
            <w:r>
              <w:rPr>
                <w:rFonts w:ascii="Arial" w:hAnsi="Arial" w:cs="Arial"/>
                <w:sz w:val="16"/>
                <w:szCs w:val="16"/>
              </w:rPr>
              <w:t>Ακολουθήστε μας στα Μέσα Κοινωνικής Δικτύωσης:</w:t>
            </w:r>
            <w:r>
              <w:rPr>
                <w:lang w:val="en-US"/>
              </w:rPr>
              <w:t>    </w:t>
            </w:r>
          </w:p>
          <w:p w:rsidR="0028614B" w:rsidRPr="00A6535B" w:rsidRDefault="002055E8" w:rsidP="00F37D15">
            <w:pPr>
              <w:jc w:val="center"/>
              <w:rPr>
                <w:color w:val="595959" w:themeColor="text1" w:themeTint="A6"/>
                <w:sz w:val="18"/>
                <w:szCs w:val="18"/>
                <w:lang w:val="de-AT"/>
              </w:rPr>
            </w:pPr>
            <w:r>
              <w:rPr>
                <w:rFonts w:ascii="Times New Roman" w:eastAsia="Calibri" w:hAnsi="Times New Roman" w:cs="Times New Roman"/>
                <w:noProof/>
                <w:color w:val="1F497D"/>
                <w:sz w:val="18"/>
                <w:szCs w:val="18"/>
              </w:rPr>
              <w:t> </w:t>
            </w:r>
            <w:r>
              <w:rPr>
                <w:rFonts w:ascii="Calibri" w:eastAsia="Calibri" w:hAnsi="Calibri" w:cs="Times New Roman"/>
                <w:noProof/>
                <w:color w:val="1F497D"/>
              </w:rPr>
              <w:drawing>
                <wp:inline distT="0" distB="0" distL="0" distR="0">
                  <wp:extent cx="189230" cy="189230"/>
                  <wp:effectExtent l="0" t="0" r="1270" b="1270"/>
                  <wp:docPr id="18" name="Εικόνα 18" descr="cid:image007.png@01D1707A.1164BA3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id:image007.png@01D1707A.1164BA3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rFonts w:ascii="Calibri" w:eastAsia="Calibri" w:hAnsi="Calibri" w:cs="Times New Roman"/>
                <w:noProof/>
                <w:color w:val="1F497D"/>
              </w:rPr>
              <w:t>  </w:t>
            </w:r>
            <w:r>
              <w:rPr>
                <w:rFonts w:ascii="Calibri" w:eastAsia="Calibri" w:hAnsi="Calibri" w:cs="Times New Roman"/>
                <w:noProof/>
                <w:color w:val="1F497D"/>
              </w:rPr>
              <w:drawing>
                <wp:inline distT="0" distB="0" distL="0" distR="0">
                  <wp:extent cx="189230" cy="189230"/>
                  <wp:effectExtent l="0" t="0" r="1270" b="1270"/>
                  <wp:docPr id="17" name="Εικόνα 17" descr="cid:image008.png@01D1707A.1164BA3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id:image008.png@01D1707A.1164BA3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rFonts w:ascii="Calibri" w:eastAsia="Calibri" w:hAnsi="Calibri" w:cs="Times New Roman"/>
                <w:noProof/>
                <w:color w:val="1F497D"/>
              </w:rPr>
              <w:t>  </w:t>
            </w:r>
            <w:r>
              <w:rPr>
                <w:rFonts w:ascii="Calibri" w:eastAsia="Calibri" w:hAnsi="Calibri" w:cs="Times New Roman"/>
                <w:noProof/>
                <w:color w:val="1F497D"/>
              </w:rPr>
              <w:drawing>
                <wp:inline distT="0" distB="0" distL="0" distR="0">
                  <wp:extent cx="179070" cy="179070"/>
                  <wp:effectExtent l="0" t="0" r="0" b="0"/>
                  <wp:docPr id="16" name="Εικόνα 16" descr="cid:image009.png@01D1707A.1164BA3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id:image009.png@01D1707A.1164BA3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00F37D15">
              <w:rPr>
                <w:rFonts w:ascii="Calibri" w:eastAsia="Calibri" w:hAnsi="Calibri" w:cs="Times New Roman"/>
              </w:rPr>
              <w:t>    </w:t>
            </w:r>
          </w:p>
        </w:tc>
      </w:tr>
    </w:tbl>
    <w:p w:rsidR="00F867A9" w:rsidRPr="006D5B10" w:rsidRDefault="00F867A9" w:rsidP="00F37D15">
      <w:pPr>
        <w:spacing w:after="0" w:line="240" w:lineRule="auto"/>
        <w:rPr>
          <w:lang w:val="en-US"/>
        </w:rPr>
      </w:pPr>
    </w:p>
    <w:sectPr w:rsidR="00F867A9" w:rsidRPr="006D5B10" w:rsidSect="00F867A9">
      <w:headerReference w:type="even" r:id="rId56"/>
      <w:headerReference w:type="default" r:id="rId57"/>
      <w:footerReference w:type="default" r:id="rId58"/>
      <w:headerReference w:type="first" r:id="rId59"/>
      <w:footerReference w:type="first" r:id="rId60"/>
      <w:pgSz w:w="11906" w:h="16838"/>
      <w:pgMar w:top="1843" w:right="720" w:bottom="709" w:left="720" w:header="708" w:footer="4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5C4" w:rsidRDefault="004765C4" w:rsidP="00846D99">
      <w:pPr>
        <w:spacing w:after="0" w:line="240" w:lineRule="auto"/>
      </w:pPr>
      <w:r>
        <w:separator/>
      </w:r>
    </w:p>
  </w:endnote>
  <w:endnote w:type="continuationSeparator" w:id="0">
    <w:p w:rsidR="004765C4" w:rsidRDefault="004765C4" w:rsidP="00846D99">
      <w:pPr>
        <w:spacing w:after="0" w:line="240" w:lineRule="auto"/>
      </w:pPr>
      <w:r>
        <w:continuationSeparator/>
      </w:r>
    </w:p>
  </w:endnote>
  <w:endnote w:type="continuationNotice" w:id="1">
    <w:p w:rsidR="004765C4" w:rsidRDefault="004765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237509"/>
      <w:docPartObj>
        <w:docPartGallery w:val="Page Numbers (Bottom of Page)"/>
        <w:docPartUnique/>
      </w:docPartObj>
    </w:sdtPr>
    <w:sdtEndPr>
      <w:rPr>
        <w:noProof/>
      </w:rPr>
    </w:sdtEndPr>
    <w:sdtContent>
      <w:p w:rsidR="00BC4EC3" w:rsidRDefault="00E45264">
        <w:pPr>
          <w:pStyle w:val="a4"/>
          <w:jc w:val="right"/>
        </w:pPr>
        <w:r>
          <w:rPr>
            <w:noProof/>
          </w:rPr>
          <mc:AlternateContent>
            <mc:Choice Requires="wps">
              <w:drawing>
                <wp:anchor distT="4294967291" distB="4294967291" distL="114300" distR="114300" simplePos="0" relativeHeight="251659776" behindDoc="0" locked="0" layoutInCell="1" allowOverlap="1">
                  <wp:simplePos x="0" y="0"/>
                  <wp:positionH relativeFrom="margin">
                    <wp:align>left</wp:align>
                  </wp:positionH>
                  <wp:positionV relativeFrom="paragraph">
                    <wp:posOffset>70484</wp:posOffset>
                  </wp:positionV>
                  <wp:extent cx="6480175" cy="0"/>
                  <wp:effectExtent l="0" t="0" r="1587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8017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 o:spid="_x0000_s1026" style="position:absolute;flip:y;z-index:251659776;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margin" from="0,5.55pt" to="510.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" strokecolor="#365f91 [2404]">
                  <o:lock v:ext="edit" shapetype="f"/>
                  <w10:wrap anchorx="margin"/>
                </v:line>
              </w:pict>
            </mc:Fallback>
          </mc:AlternateContent>
        </w:r>
        <w:r w:rsidR="00BC4EC3">
          <w:rPr>
            <w:noProof/>
          </w:rPr>
          <w:drawing>
            <wp:anchor distT="0" distB="0" distL="114300" distR="114300" simplePos="0" relativeHeight="251656192" behindDoc="1" locked="0" layoutInCell="1" allowOverlap="1">
              <wp:simplePos x="0" y="0"/>
              <wp:positionH relativeFrom="column">
                <wp:posOffset>2592070</wp:posOffset>
              </wp:positionH>
              <wp:positionV relativeFrom="paragraph">
                <wp:posOffset>-2480310</wp:posOffset>
              </wp:positionV>
              <wp:extent cx="4502150" cy="324358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_PPT.png"/>
                      <pic:cNvPicPr/>
                    </pic:nvPicPr>
                    <pic:blipFill rotWithShape="1">
                      <a:blip r:embed="rId1">
                        <a:extLst>
                          <a:ext uri="{28A0092B-C50C-407E-A947-70E740481C1C}">
                            <a14:useLocalDpi xmlns:a14="http://schemas.microsoft.com/office/drawing/2010/main" val="0"/>
                          </a:ext>
                        </a:extLst>
                      </a:blip>
                      <a:srcRect l="14624" t="50485"/>
                      <a:stretch/>
                    </pic:blipFill>
                    <pic:spPr bwMode="auto">
                      <a:xfrm>
                        <a:off x="0" y="0"/>
                        <a:ext cx="4502150" cy="3243580"/>
                      </a:xfrm>
                      <a:prstGeom prst="rect">
                        <a:avLst/>
                      </a:prstGeom>
                      <a:ln>
                        <a:noFill/>
                      </a:ln>
                      <a:extLst>
                        <a:ext uri="{53640926-AAD7-44D8-BBD7-CCE9431645EC}">
                          <a14:shadowObscured xmlns:a14="http://schemas.microsoft.com/office/drawing/2010/main"/>
                        </a:ext>
                      </a:extLst>
                    </pic:spPr>
                  </pic:pic>
                </a:graphicData>
              </a:graphic>
            </wp:anchor>
          </w:drawing>
        </w:r>
        <w:r w:rsidR="00BA2275">
          <w:fldChar w:fldCharType="begin"/>
        </w:r>
        <w:r w:rsidR="00BC4EC3">
          <w:instrText xml:space="preserve"> PAGE   \* MERGEFORMAT </w:instrText>
        </w:r>
        <w:r w:rsidR="00BA2275">
          <w:fldChar w:fldCharType="separate"/>
        </w:r>
        <w:r>
          <w:rPr>
            <w:noProof/>
          </w:rPr>
          <w:t>9</w:t>
        </w:r>
        <w:r w:rsidR="00BA2275">
          <w:rPr>
            <w:noProof/>
          </w:rPr>
          <w:fldChar w:fldCharType="end"/>
        </w:r>
      </w:p>
    </w:sdtContent>
  </w:sdt>
  <w:p w:rsidR="00BC4EC3" w:rsidRPr="00502ED7" w:rsidRDefault="002055E8" w:rsidP="002E5158">
    <w:pPr>
      <w:pStyle w:val="a4"/>
      <w:tabs>
        <w:tab w:val="clear" w:pos="4153"/>
        <w:tab w:val="clear" w:pos="8306"/>
        <w:tab w:val="left" w:pos="7458"/>
      </w:tabs>
      <w:rPr>
        <w:sz w:val="20"/>
        <w:szCs w:val="20"/>
      </w:rPr>
    </w:pPr>
    <w:r w:rsidRPr="002055E8">
      <w:rPr>
        <w:noProof/>
        <w:sz w:val="20"/>
        <w:szCs w:val="20"/>
      </w:rPr>
      <w:drawing>
        <wp:anchor distT="0" distB="0" distL="114300" distR="114300" simplePos="0" relativeHeight="251662336" behindDoc="0" locked="0" layoutInCell="1" allowOverlap="1">
          <wp:simplePos x="0" y="0"/>
          <wp:positionH relativeFrom="column">
            <wp:posOffset>5156200</wp:posOffset>
          </wp:positionH>
          <wp:positionV relativeFrom="paragraph">
            <wp:posOffset>3895</wp:posOffset>
          </wp:positionV>
          <wp:extent cx="1276350" cy="320675"/>
          <wp:effectExtent l="0" t="0" r="0" b="3175"/>
          <wp:wrapSquare wrapText="bothSides"/>
          <wp:docPr id="14" name="Εικόνα 14" descr="Y:\PRESS OFFICE\mantziou\xorigoi_weekly\ot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ESS OFFICE\mantziou\xorigoi_weekly\ote_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320675"/>
                  </a:xfrm>
                  <a:prstGeom prst="rect">
                    <a:avLst/>
                  </a:prstGeom>
                  <a:noFill/>
                  <a:ln>
                    <a:noFill/>
                  </a:ln>
                </pic:spPr>
              </pic:pic>
            </a:graphicData>
          </a:graphic>
        </wp:anchor>
      </w:drawing>
    </w:r>
    <w:r w:rsidR="00BC4EC3">
      <w:rPr>
        <w:sz w:val="20"/>
        <w:szCs w:val="20"/>
      </w:rPr>
      <w:t>06</w:t>
    </w:r>
    <w:r w:rsidR="00BC4EC3" w:rsidRPr="00502ED7">
      <w:rPr>
        <w:sz w:val="20"/>
        <w:szCs w:val="20"/>
      </w:rPr>
      <w:t>/</w:t>
    </w:r>
    <w:r w:rsidR="00BC4EC3">
      <w:rPr>
        <w:sz w:val="20"/>
        <w:szCs w:val="20"/>
      </w:rPr>
      <w:t>10</w:t>
    </w:r>
    <w:r w:rsidR="00BC4EC3" w:rsidRPr="00502ED7">
      <w:rPr>
        <w:sz w:val="20"/>
        <w:szCs w:val="20"/>
      </w:rPr>
      <w:t>/2016</w:t>
    </w:r>
    <w:r w:rsidR="00BC4EC3" w:rsidRPr="00502ED7">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832815"/>
      <w:docPartObj>
        <w:docPartGallery w:val="Page Numbers (Bottom of Page)"/>
        <w:docPartUnique/>
      </w:docPartObj>
    </w:sdtPr>
    <w:sdtEndPr>
      <w:rPr>
        <w:noProof/>
        <w:sz w:val="18"/>
        <w:szCs w:val="18"/>
      </w:rPr>
    </w:sdtEndPr>
    <w:sdtContent>
      <w:p w:rsidR="00BC4EC3" w:rsidRPr="00AD6868" w:rsidRDefault="00E45264" w:rsidP="009A2EC7">
        <w:pPr>
          <w:pStyle w:val="a4"/>
          <w:rPr>
            <w:sz w:val="18"/>
            <w:szCs w:val="18"/>
          </w:rPr>
        </w:pPr>
        <w:r>
          <w:rPr>
            <w:noProof/>
            <w:color w:val="595959" w:themeColor="text1" w:themeTint="A6"/>
          </w:rPr>
          <mc:AlternateContent>
            <mc:Choice Requires="wps">
              <w:drawing>
                <wp:anchor distT="0" distB="0" distL="114300" distR="114300" simplePos="0" relativeHeight="251657728" behindDoc="0" locked="0" layoutInCell="1" allowOverlap="1">
                  <wp:simplePos x="0" y="0"/>
                  <wp:positionH relativeFrom="column">
                    <wp:posOffset>102870</wp:posOffset>
                  </wp:positionH>
                  <wp:positionV relativeFrom="page">
                    <wp:posOffset>6767830</wp:posOffset>
                  </wp:positionV>
                  <wp:extent cx="1971040" cy="4086225"/>
                  <wp:effectExtent l="0" t="0" r="0" b="952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4086225"/>
                          </a:xfrm>
                          <a:prstGeom prst="rect">
                            <a:avLst/>
                          </a:prstGeom>
                          <a:solidFill>
                            <a:schemeClr val="accent1">
                              <a:lumMod val="75000"/>
                            </a:schemeClr>
                          </a:solidFill>
                          <a:ln>
                            <a:noFill/>
                          </a:ln>
                          <a:extLst/>
                        </wps:spPr>
                        <wps:txbx>
                          <w:txbxContent>
                            <w:p w:rsidR="00BC4EC3" w:rsidRDefault="00BC4EC3" w:rsidP="008C3DCE">
                              <w:pPr>
                                <w:spacing w:after="0" w:line="240" w:lineRule="auto"/>
                                <w:rPr>
                                  <w:b/>
                                  <w:color w:val="FFFFFF" w:themeColor="background1"/>
                                </w:rPr>
                              </w:pPr>
                              <w:r>
                                <w:rPr>
                                  <w:b/>
                                  <w:color w:val="FFFFFF" w:themeColor="background1"/>
                                </w:rPr>
                                <w:t xml:space="preserve">Τομέας </w:t>
                              </w:r>
                              <w:r w:rsidRPr="0076116F">
                                <w:rPr>
                                  <w:b/>
                                  <w:color w:val="FFFFFF" w:themeColor="background1"/>
                                </w:rPr>
                                <w:t>Μακροοικονομικής Ανάλυσης</w:t>
                              </w:r>
                            </w:p>
                            <w:p w:rsidR="00BC4EC3" w:rsidRPr="0076116F" w:rsidRDefault="00BC4EC3" w:rsidP="008C3DCE">
                              <w:pPr>
                                <w:spacing w:after="0" w:line="240" w:lineRule="auto"/>
                                <w:rPr>
                                  <w:b/>
                                  <w:color w:val="FFFFFF" w:themeColor="background1"/>
                                </w:rPr>
                              </w:pPr>
                              <w:r w:rsidRPr="0076116F">
                                <w:rPr>
                                  <w:b/>
                                  <w:color w:val="FFFFFF" w:themeColor="background1"/>
                                </w:rPr>
                                <w:t>και Ευρωπαϊκής Πολιτικής</w:t>
                              </w:r>
                            </w:p>
                            <w:p w:rsidR="00BC4EC3" w:rsidRDefault="00BC4EC3" w:rsidP="008C3DCE">
                              <w:pPr>
                                <w:spacing w:after="0" w:line="240" w:lineRule="auto"/>
                                <w:rPr>
                                  <w:b/>
                                  <w:color w:val="FFFFFF" w:themeColor="background1"/>
                                  <w:sz w:val="18"/>
                                  <w:szCs w:val="18"/>
                                </w:rPr>
                              </w:pPr>
                            </w:p>
                            <w:p w:rsidR="00BC4EC3" w:rsidRPr="00A51C94" w:rsidRDefault="00BC4EC3" w:rsidP="008C3DCE">
                              <w:pPr>
                                <w:spacing w:after="0" w:line="240" w:lineRule="auto"/>
                                <w:rPr>
                                  <w:b/>
                                  <w:color w:val="FFFFFF" w:themeColor="background1"/>
                                  <w:sz w:val="18"/>
                                  <w:szCs w:val="18"/>
                                  <w:lang w:val="en-US"/>
                                </w:rPr>
                              </w:pPr>
                              <w:r w:rsidRPr="004D0C4D">
                                <w:rPr>
                                  <w:b/>
                                  <w:color w:val="FFFFFF" w:themeColor="background1"/>
                                  <w:sz w:val="18"/>
                                  <w:szCs w:val="18"/>
                                </w:rPr>
                                <w:t>Μιχάλης</w:t>
                              </w:r>
                              <w:r w:rsidRPr="00AB0970">
                                <w:rPr>
                                  <w:b/>
                                  <w:color w:val="FFFFFF" w:themeColor="background1"/>
                                  <w:sz w:val="18"/>
                                  <w:szCs w:val="18"/>
                                  <w:lang w:val="en-US"/>
                                </w:rPr>
                                <w:t xml:space="preserve"> </w:t>
                              </w:r>
                              <w:r w:rsidRPr="004D0C4D">
                                <w:rPr>
                                  <w:b/>
                                  <w:color w:val="FFFFFF" w:themeColor="background1"/>
                                  <w:sz w:val="18"/>
                                  <w:szCs w:val="18"/>
                                </w:rPr>
                                <w:t>Μασουράκης</w:t>
                              </w:r>
                            </w:p>
                            <w:p w:rsidR="00BC4EC3" w:rsidRPr="00A51C94" w:rsidRDefault="00BC4EC3" w:rsidP="008C3DCE">
                              <w:pPr>
                                <w:widowControl w:val="0"/>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Chief</w:t>
                              </w:r>
                              <w:r w:rsidRPr="00AB0970">
                                <w:rPr>
                                  <w:rFonts w:cs="Tahoma"/>
                                  <w:b/>
                                  <w:color w:val="FFFFFF" w:themeColor="background1"/>
                                  <w:sz w:val="18"/>
                                  <w:szCs w:val="18"/>
                                  <w:lang w:val="en-US"/>
                                </w:rPr>
                                <w:t xml:space="preserve"> </w:t>
                              </w:r>
                              <w:r w:rsidRPr="004D0C4D">
                                <w:rPr>
                                  <w:rFonts w:cs="Tahoma"/>
                                  <w:b/>
                                  <w:color w:val="FFFFFF" w:themeColor="background1"/>
                                  <w:sz w:val="18"/>
                                  <w:szCs w:val="18"/>
                                  <w:lang w:val="en-US"/>
                                </w:rPr>
                                <w:t>Economist</w:t>
                              </w:r>
                            </w:p>
                            <w:p w:rsidR="00BC4EC3" w:rsidRPr="00A51C94" w:rsidRDefault="00BC4EC3"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A51C94">
                                <w:rPr>
                                  <w:rFonts w:cs="Tahoma"/>
                                  <w:color w:val="FFFFFF" w:themeColor="background1"/>
                                  <w:sz w:val="18"/>
                                  <w:szCs w:val="18"/>
                                  <w:lang w:val="en-US"/>
                                </w:rPr>
                                <w:t xml:space="preserve">: </w:t>
                              </w:r>
                              <w:hyperlink r:id="rId1" w:history="1">
                                <w:r w:rsidRPr="004D0C4D">
                                  <w:rPr>
                                    <w:rFonts w:cs="Tahoma"/>
                                    <w:color w:val="FFFFFF" w:themeColor="background1"/>
                                    <w:sz w:val="18"/>
                                    <w:szCs w:val="18"/>
                                    <w:lang w:val="en-US"/>
                                  </w:rPr>
                                  <w:t>mmassourakis</w:t>
                                </w:r>
                                <w:r w:rsidRPr="00A51C94">
                                  <w:rPr>
                                    <w:rFonts w:cs="Tahoma"/>
                                    <w:color w:val="FFFFFF" w:themeColor="background1"/>
                                    <w:sz w:val="18"/>
                                    <w:szCs w:val="18"/>
                                    <w:lang w:val="en-US"/>
                                  </w:rPr>
                                  <w:t>@</w:t>
                                </w:r>
                                <w:r w:rsidRPr="004D0C4D">
                                  <w:rPr>
                                    <w:rFonts w:cs="Tahoma"/>
                                    <w:color w:val="FFFFFF" w:themeColor="background1"/>
                                    <w:sz w:val="18"/>
                                    <w:szCs w:val="18"/>
                                    <w:lang w:val="en-US"/>
                                  </w:rPr>
                                  <w:t>sev</w:t>
                                </w:r>
                                <w:r w:rsidRPr="00A51C94">
                                  <w:rPr>
                                    <w:rFonts w:cs="Tahoma"/>
                                    <w:color w:val="FFFFFF" w:themeColor="background1"/>
                                    <w:sz w:val="18"/>
                                    <w:szCs w:val="18"/>
                                    <w:lang w:val="en-US"/>
                                  </w:rPr>
                                  <w:t>.</w:t>
                                </w:r>
                                <w:r w:rsidRPr="004D0C4D">
                                  <w:rPr>
                                    <w:rFonts w:cs="Tahoma"/>
                                    <w:color w:val="FFFFFF" w:themeColor="background1"/>
                                    <w:sz w:val="18"/>
                                    <w:szCs w:val="18"/>
                                    <w:lang w:val="en-US"/>
                                  </w:rPr>
                                  <w:t>org</w:t>
                                </w:r>
                                <w:r w:rsidRPr="00A51C94">
                                  <w:rPr>
                                    <w:rFonts w:cs="Tahoma"/>
                                    <w:color w:val="FFFFFF" w:themeColor="background1"/>
                                    <w:sz w:val="18"/>
                                    <w:szCs w:val="18"/>
                                    <w:lang w:val="en-US"/>
                                  </w:rPr>
                                  <w:t>.</w:t>
                                </w:r>
                                <w:r w:rsidRPr="004D0C4D">
                                  <w:rPr>
                                    <w:rFonts w:cs="Tahoma"/>
                                    <w:color w:val="FFFFFF" w:themeColor="background1"/>
                                    <w:sz w:val="18"/>
                                    <w:szCs w:val="18"/>
                                    <w:lang w:val="en-US"/>
                                  </w:rPr>
                                  <w:t>gr</w:t>
                                </w:r>
                              </w:hyperlink>
                            </w:p>
                            <w:p w:rsidR="00BC4EC3" w:rsidRPr="00892590" w:rsidRDefault="00BC4EC3" w:rsidP="008C3DCE">
                              <w:pPr>
                                <w:spacing w:after="0" w:line="240" w:lineRule="auto"/>
                                <w:rPr>
                                  <w:color w:val="FFFFFF" w:themeColor="background1"/>
                                  <w:sz w:val="18"/>
                                  <w:szCs w:val="18"/>
                                  <w:lang w:val="en-US"/>
                                </w:rPr>
                              </w:pPr>
                              <w:r w:rsidRPr="004D0C4D">
                                <w:rPr>
                                  <w:rFonts w:cs="Tahoma"/>
                                  <w:color w:val="FFFFFF" w:themeColor="background1"/>
                                  <w:sz w:val="18"/>
                                  <w:szCs w:val="18"/>
                                </w:rPr>
                                <w:t>Τ</w:t>
                              </w:r>
                              <w:r w:rsidRPr="00892590">
                                <w:rPr>
                                  <w:rFonts w:cs="Tahoma"/>
                                  <w:color w:val="FFFFFF" w:themeColor="background1"/>
                                  <w:sz w:val="18"/>
                                  <w:szCs w:val="18"/>
                                  <w:lang w:val="en-US"/>
                                </w:rPr>
                                <w:t>: +30 211 500 6104</w:t>
                              </w:r>
                            </w:p>
                            <w:p w:rsidR="00BC4EC3" w:rsidRPr="00892590" w:rsidRDefault="00BC4EC3" w:rsidP="008C3DCE">
                              <w:pPr>
                                <w:spacing w:after="0" w:line="240" w:lineRule="auto"/>
                                <w:rPr>
                                  <w:color w:val="FFFFFF" w:themeColor="background1"/>
                                  <w:sz w:val="18"/>
                                  <w:szCs w:val="18"/>
                                  <w:lang w:val="en-US"/>
                                </w:rPr>
                              </w:pPr>
                            </w:p>
                            <w:p w:rsidR="00BC4EC3" w:rsidRPr="00892590" w:rsidRDefault="00BC4EC3" w:rsidP="008C3DCE">
                              <w:pPr>
                                <w:spacing w:after="0" w:line="240" w:lineRule="auto"/>
                                <w:rPr>
                                  <w:b/>
                                  <w:color w:val="FFFFFF" w:themeColor="background1"/>
                                  <w:sz w:val="18"/>
                                  <w:szCs w:val="18"/>
                                  <w:lang w:val="en-US"/>
                                </w:rPr>
                              </w:pPr>
                              <w:r w:rsidRPr="004D0C4D">
                                <w:rPr>
                                  <w:b/>
                                  <w:color w:val="FFFFFF" w:themeColor="background1"/>
                                  <w:sz w:val="18"/>
                                  <w:szCs w:val="18"/>
                                </w:rPr>
                                <w:t>Μιχάλης</w:t>
                              </w:r>
                              <w:r w:rsidRPr="00892590">
                                <w:rPr>
                                  <w:b/>
                                  <w:color w:val="FFFFFF" w:themeColor="background1"/>
                                  <w:sz w:val="18"/>
                                  <w:szCs w:val="18"/>
                                  <w:lang w:val="en-US"/>
                                </w:rPr>
                                <w:t xml:space="preserve"> </w:t>
                              </w:r>
                              <w:r w:rsidRPr="004D0C4D">
                                <w:rPr>
                                  <w:b/>
                                  <w:color w:val="FFFFFF" w:themeColor="background1"/>
                                  <w:sz w:val="18"/>
                                  <w:szCs w:val="18"/>
                                </w:rPr>
                                <w:t>Μητσόπουλος</w:t>
                              </w:r>
                            </w:p>
                            <w:p w:rsidR="00BC4EC3" w:rsidRPr="00892590" w:rsidRDefault="00BC4EC3" w:rsidP="008C3DCE">
                              <w:pPr>
                                <w:widowControl w:val="0"/>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Senior</w:t>
                              </w:r>
                              <w:r w:rsidRPr="00892590">
                                <w:rPr>
                                  <w:rFonts w:cs="Tahoma"/>
                                  <w:b/>
                                  <w:color w:val="FFFFFF" w:themeColor="background1"/>
                                  <w:sz w:val="18"/>
                                  <w:szCs w:val="18"/>
                                  <w:lang w:val="en-US"/>
                                </w:rPr>
                                <w:t xml:space="preserve"> </w:t>
                              </w:r>
                              <w:r w:rsidRPr="004D0C4D">
                                <w:rPr>
                                  <w:rFonts w:cs="Tahoma"/>
                                  <w:b/>
                                  <w:color w:val="FFFFFF" w:themeColor="background1"/>
                                  <w:sz w:val="18"/>
                                  <w:szCs w:val="18"/>
                                  <w:lang w:val="en-US"/>
                                </w:rPr>
                                <w:t>Advisor</w:t>
                              </w:r>
                            </w:p>
                            <w:p w:rsidR="00BC4EC3" w:rsidRPr="00892590" w:rsidRDefault="00BC4EC3"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892590">
                                <w:rPr>
                                  <w:rFonts w:cs="Tahoma"/>
                                  <w:color w:val="FFFFFF" w:themeColor="background1"/>
                                  <w:sz w:val="18"/>
                                  <w:szCs w:val="18"/>
                                  <w:lang w:val="en-US"/>
                                </w:rPr>
                                <w:t xml:space="preserve">: </w:t>
                              </w:r>
                              <w:hyperlink r:id="rId2" w:history="1">
                                <w:r w:rsidRPr="004D0C4D">
                                  <w:rPr>
                                    <w:color w:val="FFFFFF" w:themeColor="background1"/>
                                    <w:sz w:val="18"/>
                                    <w:szCs w:val="18"/>
                                    <w:lang w:val="en-US"/>
                                  </w:rPr>
                                  <w:t>mmitsopoulos</w:t>
                                </w:r>
                                <w:r w:rsidRPr="00892590">
                                  <w:rPr>
                                    <w:color w:val="FFFFFF" w:themeColor="background1"/>
                                    <w:sz w:val="18"/>
                                    <w:szCs w:val="18"/>
                                    <w:lang w:val="en-US"/>
                                  </w:rPr>
                                  <w:t>@</w:t>
                                </w:r>
                                <w:r w:rsidRPr="004D0C4D">
                                  <w:rPr>
                                    <w:color w:val="FFFFFF" w:themeColor="background1"/>
                                    <w:sz w:val="18"/>
                                    <w:szCs w:val="18"/>
                                    <w:lang w:val="en-US"/>
                                  </w:rPr>
                                  <w:t>sev</w:t>
                                </w:r>
                                <w:r w:rsidRPr="00892590">
                                  <w:rPr>
                                    <w:color w:val="FFFFFF" w:themeColor="background1"/>
                                    <w:sz w:val="18"/>
                                    <w:szCs w:val="18"/>
                                    <w:lang w:val="en-US"/>
                                  </w:rPr>
                                  <w:t>.</w:t>
                                </w:r>
                                <w:r w:rsidRPr="004D0C4D">
                                  <w:rPr>
                                    <w:color w:val="FFFFFF" w:themeColor="background1"/>
                                    <w:sz w:val="18"/>
                                    <w:szCs w:val="18"/>
                                    <w:lang w:val="en-US"/>
                                  </w:rPr>
                                  <w:t>org</w:t>
                                </w:r>
                                <w:r w:rsidRPr="00892590">
                                  <w:rPr>
                                    <w:color w:val="FFFFFF" w:themeColor="background1"/>
                                    <w:sz w:val="18"/>
                                    <w:szCs w:val="18"/>
                                    <w:lang w:val="en-US"/>
                                  </w:rPr>
                                  <w:t>.</w:t>
                                </w:r>
                                <w:r w:rsidRPr="004D0C4D">
                                  <w:rPr>
                                    <w:color w:val="FFFFFF" w:themeColor="background1"/>
                                    <w:sz w:val="18"/>
                                    <w:szCs w:val="18"/>
                                    <w:lang w:val="en-US"/>
                                  </w:rPr>
                                  <w:t>gr</w:t>
                                </w:r>
                              </w:hyperlink>
                            </w:p>
                            <w:p w:rsidR="00BC4EC3" w:rsidRPr="00543EC3" w:rsidRDefault="00BC4EC3" w:rsidP="008C3DCE">
                              <w:pPr>
                                <w:spacing w:after="0" w:line="240" w:lineRule="auto"/>
                                <w:rPr>
                                  <w:color w:val="FFFFFF" w:themeColor="background1"/>
                                  <w:sz w:val="18"/>
                                  <w:szCs w:val="18"/>
                                  <w:lang w:val="en-US"/>
                                </w:rPr>
                              </w:pPr>
                              <w:r w:rsidRPr="004D0C4D">
                                <w:rPr>
                                  <w:rFonts w:cs="Tahoma"/>
                                  <w:color w:val="FFFFFF" w:themeColor="background1"/>
                                  <w:sz w:val="18"/>
                                  <w:szCs w:val="18"/>
                                </w:rPr>
                                <w:t>Τ</w:t>
                              </w:r>
                              <w:r w:rsidRPr="00543EC3">
                                <w:rPr>
                                  <w:rFonts w:cs="Tahoma"/>
                                  <w:color w:val="FFFFFF" w:themeColor="background1"/>
                                  <w:sz w:val="18"/>
                                  <w:szCs w:val="18"/>
                                  <w:lang w:val="en-US"/>
                                </w:rPr>
                                <w:t>: +30</w:t>
                              </w:r>
                              <w:r w:rsidRPr="00AB0970">
                                <w:rPr>
                                  <w:rFonts w:cs="Tahoma"/>
                                  <w:color w:val="FFFFFF" w:themeColor="background1"/>
                                  <w:sz w:val="18"/>
                                  <w:szCs w:val="18"/>
                                  <w:lang w:val="en-US"/>
                                </w:rPr>
                                <w:t xml:space="preserve"> </w:t>
                              </w:r>
                              <w:r w:rsidRPr="00543EC3">
                                <w:rPr>
                                  <w:rFonts w:cs="Tahoma"/>
                                  <w:color w:val="FFFFFF" w:themeColor="background1"/>
                                  <w:sz w:val="18"/>
                                  <w:szCs w:val="18"/>
                                  <w:lang w:val="en-US"/>
                                </w:rPr>
                                <w:t>211</w:t>
                              </w:r>
                              <w:r w:rsidRPr="00AB0970">
                                <w:rPr>
                                  <w:rFonts w:cs="Tahoma"/>
                                  <w:color w:val="FFFFFF" w:themeColor="background1"/>
                                  <w:sz w:val="18"/>
                                  <w:szCs w:val="18"/>
                                  <w:lang w:val="en-US"/>
                                </w:rPr>
                                <w:t xml:space="preserve"> </w:t>
                              </w:r>
                              <w:r w:rsidRPr="00543EC3">
                                <w:rPr>
                                  <w:rFonts w:cs="Tahoma"/>
                                  <w:color w:val="FFFFFF" w:themeColor="background1"/>
                                  <w:sz w:val="18"/>
                                  <w:szCs w:val="18"/>
                                  <w:lang w:val="en-US"/>
                                </w:rPr>
                                <w:t>500</w:t>
                              </w:r>
                              <w:r w:rsidRPr="00AB0970">
                                <w:rPr>
                                  <w:rFonts w:cs="Tahoma"/>
                                  <w:color w:val="FFFFFF" w:themeColor="background1"/>
                                  <w:sz w:val="18"/>
                                  <w:szCs w:val="18"/>
                                  <w:lang w:val="en-US"/>
                                </w:rPr>
                                <w:t xml:space="preserve"> </w:t>
                              </w:r>
                              <w:r w:rsidRPr="00543EC3">
                                <w:rPr>
                                  <w:rFonts w:cs="Tahoma"/>
                                  <w:color w:val="FFFFFF" w:themeColor="background1"/>
                                  <w:sz w:val="18"/>
                                  <w:szCs w:val="18"/>
                                  <w:lang w:val="en-US"/>
                                </w:rPr>
                                <w:t>6157</w:t>
                              </w:r>
                            </w:p>
                            <w:p w:rsidR="00BC4EC3" w:rsidRPr="00543EC3" w:rsidRDefault="00BC4EC3" w:rsidP="008C3DCE">
                              <w:pPr>
                                <w:spacing w:after="0" w:line="240" w:lineRule="auto"/>
                                <w:rPr>
                                  <w:color w:val="FFFFFF" w:themeColor="background1"/>
                                  <w:sz w:val="18"/>
                                  <w:szCs w:val="18"/>
                                  <w:lang w:val="en-US"/>
                                </w:rPr>
                              </w:pPr>
                            </w:p>
                            <w:p w:rsidR="00BC4EC3" w:rsidRPr="00543EC3" w:rsidRDefault="00BC4EC3" w:rsidP="008C3DCE">
                              <w:pPr>
                                <w:spacing w:after="0" w:line="240" w:lineRule="auto"/>
                                <w:rPr>
                                  <w:b/>
                                  <w:color w:val="FFFFFF" w:themeColor="background1"/>
                                  <w:sz w:val="18"/>
                                  <w:szCs w:val="18"/>
                                  <w:lang w:val="en-US"/>
                                </w:rPr>
                              </w:pPr>
                              <w:r w:rsidRPr="004D0C4D">
                                <w:rPr>
                                  <w:b/>
                                  <w:color w:val="FFFFFF" w:themeColor="background1"/>
                                  <w:sz w:val="18"/>
                                  <w:szCs w:val="18"/>
                                </w:rPr>
                                <w:t>ΘανάσηςΠρίντσιπας</w:t>
                              </w:r>
                            </w:p>
                            <w:p w:rsidR="00BC4EC3" w:rsidRPr="006F0F49" w:rsidRDefault="00BC4EC3" w:rsidP="008C3DCE">
                              <w:pPr>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A</w:t>
                              </w:r>
                              <w:r>
                                <w:rPr>
                                  <w:rFonts w:cs="Tahoma"/>
                                  <w:b/>
                                  <w:color w:val="FFFFFF" w:themeColor="background1"/>
                                  <w:sz w:val="18"/>
                                  <w:szCs w:val="18"/>
                                  <w:lang w:val="en-US"/>
                                </w:rPr>
                                <w:t>ssociate A</w:t>
                              </w:r>
                              <w:r w:rsidRPr="004D0C4D">
                                <w:rPr>
                                  <w:rFonts w:cs="Tahoma"/>
                                  <w:b/>
                                  <w:color w:val="FFFFFF" w:themeColor="background1"/>
                                  <w:sz w:val="18"/>
                                  <w:szCs w:val="18"/>
                                  <w:lang w:val="en-US"/>
                                </w:rPr>
                                <w:t>dvisor</w:t>
                              </w:r>
                            </w:p>
                            <w:p w:rsidR="00BC4EC3" w:rsidRPr="006F0F49" w:rsidRDefault="00BC4EC3"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6F0F49">
                                <w:rPr>
                                  <w:rFonts w:cs="Tahoma"/>
                                  <w:color w:val="FFFFFF" w:themeColor="background1"/>
                                  <w:sz w:val="18"/>
                                  <w:szCs w:val="18"/>
                                  <w:lang w:val="en-US"/>
                                </w:rPr>
                                <w:t xml:space="preserve">: </w:t>
                              </w:r>
                              <w:hyperlink r:id="rId3" w:history="1">
                                <w:r w:rsidRPr="004D0C4D">
                                  <w:rPr>
                                    <w:rFonts w:cs="Tahoma"/>
                                    <w:color w:val="FFFFFF" w:themeColor="background1"/>
                                    <w:sz w:val="18"/>
                                    <w:szCs w:val="18"/>
                                    <w:lang w:val="en-US"/>
                                  </w:rPr>
                                  <w:t>printsipas</w:t>
                                </w:r>
                                <w:r w:rsidRPr="006F0F49">
                                  <w:rPr>
                                    <w:rFonts w:cs="Tahoma"/>
                                    <w:color w:val="FFFFFF" w:themeColor="background1"/>
                                    <w:sz w:val="18"/>
                                    <w:szCs w:val="18"/>
                                    <w:lang w:val="en-US"/>
                                  </w:rPr>
                                  <w:t>@</w:t>
                                </w:r>
                                <w:r w:rsidRPr="004D0C4D">
                                  <w:rPr>
                                    <w:rFonts w:cs="Tahoma"/>
                                    <w:color w:val="FFFFFF" w:themeColor="background1"/>
                                    <w:sz w:val="18"/>
                                    <w:szCs w:val="18"/>
                                    <w:lang w:val="en-US"/>
                                  </w:rPr>
                                  <w:t>sev</w:t>
                                </w:r>
                                <w:r w:rsidRPr="006F0F49">
                                  <w:rPr>
                                    <w:rFonts w:cs="Tahoma"/>
                                    <w:color w:val="FFFFFF" w:themeColor="background1"/>
                                    <w:sz w:val="18"/>
                                    <w:szCs w:val="18"/>
                                    <w:lang w:val="en-US"/>
                                  </w:rPr>
                                  <w:t>.</w:t>
                                </w:r>
                                <w:r w:rsidRPr="004D0C4D">
                                  <w:rPr>
                                    <w:rFonts w:cs="Tahoma"/>
                                    <w:color w:val="FFFFFF" w:themeColor="background1"/>
                                    <w:sz w:val="18"/>
                                    <w:szCs w:val="18"/>
                                    <w:lang w:val="en-US"/>
                                  </w:rPr>
                                  <w:t>org</w:t>
                                </w:r>
                                <w:r w:rsidRPr="006F0F49">
                                  <w:rPr>
                                    <w:rFonts w:cs="Tahoma"/>
                                    <w:color w:val="FFFFFF" w:themeColor="background1"/>
                                    <w:sz w:val="18"/>
                                    <w:szCs w:val="18"/>
                                    <w:lang w:val="en-US"/>
                                  </w:rPr>
                                  <w:t>.</w:t>
                                </w:r>
                                <w:r w:rsidRPr="004D0C4D">
                                  <w:rPr>
                                    <w:rFonts w:cs="Tahoma"/>
                                    <w:color w:val="FFFFFF" w:themeColor="background1"/>
                                    <w:sz w:val="18"/>
                                    <w:szCs w:val="18"/>
                                    <w:lang w:val="en-US"/>
                                  </w:rPr>
                                  <w:t>gr</w:t>
                                </w:r>
                              </w:hyperlink>
                            </w:p>
                            <w:p w:rsidR="00BC4EC3" w:rsidRPr="006C407D" w:rsidRDefault="00BC4EC3" w:rsidP="008C3DCE">
                              <w:pPr>
                                <w:spacing w:after="0" w:line="240" w:lineRule="auto"/>
                                <w:rPr>
                                  <w:rFonts w:cs="Tahoma"/>
                                  <w:color w:val="FFFFFF" w:themeColor="background1"/>
                                  <w:sz w:val="18"/>
                                  <w:szCs w:val="18"/>
                                </w:rPr>
                              </w:pPr>
                              <w:r w:rsidRPr="004D0C4D">
                                <w:rPr>
                                  <w:rFonts w:cs="Tahoma"/>
                                  <w:color w:val="FFFFFF" w:themeColor="background1"/>
                                  <w:sz w:val="18"/>
                                  <w:szCs w:val="18"/>
                                </w:rPr>
                                <w:t>Τ</w:t>
                              </w:r>
                              <w:r w:rsidRPr="006C407D">
                                <w:rPr>
                                  <w:rFonts w:cs="Tahoma"/>
                                  <w:color w:val="FFFFFF" w:themeColor="background1"/>
                                  <w:sz w:val="18"/>
                                  <w:szCs w:val="18"/>
                                </w:rPr>
                                <w:t>: +30</w:t>
                              </w:r>
                              <w:r>
                                <w:rPr>
                                  <w:rFonts w:cs="Tahoma"/>
                                  <w:color w:val="FFFFFF" w:themeColor="background1"/>
                                  <w:sz w:val="18"/>
                                  <w:szCs w:val="18"/>
                                </w:rPr>
                                <w:t xml:space="preserve"> </w:t>
                              </w:r>
                              <w:r w:rsidRPr="006C407D">
                                <w:rPr>
                                  <w:rFonts w:cs="Tahoma"/>
                                  <w:color w:val="FFFFFF" w:themeColor="background1"/>
                                  <w:sz w:val="18"/>
                                  <w:szCs w:val="18"/>
                                </w:rPr>
                                <w:t>211</w:t>
                              </w:r>
                              <w:r>
                                <w:rPr>
                                  <w:rFonts w:cs="Tahoma"/>
                                  <w:color w:val="FFFFFF" w:themeColor="background1"/>
                                  <w:sz w:val="18"/>
                                  <w:szCs w:val="18"/>
                                </w:rPr>
                                <w:t xml:space="preserve"> </w:t>
                              </w:r>
                              <w:r w:rsidRPr="006C407D">
                                <w:rPr>
                                  <w:rFonts w:cs="Tahoma"/>
                                  <w:color w:val="FFFFFF" w:themeColor="background1"/>
                                  <w:sz w:val="18"/>
                                  <w:szCs w:val="18"/>
                                </w:rPr>
                                <w:t>500</w:t>
                              </w:r>
                              <w:r>
                                <w:rPr>
                                  <w:rFonts w:cs="Tahoma"/>
                                  <w:color w:val="FFFFFF" w:themeColor="background1"/>
                                  <w:sz w:val="18"/>
                                  <w:szCs w:val="18"/>
                                </w:rPr>
                                <w:t xml:space="preserve"> </w:t>
                              </w:r>
                              <w:r w:rsidRPr="006C407D">
                                <w:rPr>
                                  <w:rFonts w:cs="Tahoma"/>
                                  <w:color w:val="FFFFFF" w:themeColor="background1"/>
                                  <w:sz w:val="18"/>
                                  <w:szCs w:val="18"/>
                                </w:rPr>
                                <w:t>6176</w:t>
                              </w:r>
                            </w:p>
                            <w:p w:rsidR="00BC4EC3" w:rsidRPr="006C407D" w:rsidRDefault="00BC4EC3" w:rsidP="008C3DCE">
                              <w:pPr>
                                <w:spacing w:after="0" w:line="240" w:lineRule="auto"/>
                                <w:rPr>
                                  <w:rFonts w:cs="Tahoma"/>
                                  <w:color w:val="FFFFFF" w:themeColor="background1"/>
                                  <w:sz w:val="8"/>
                                  <w:szCs w:val="8"/>
                                </w:rPr>
                              </w:pPr>
                            </w:p>
                            <w:p w:rsidR="00BC4EC3" w:rsidRPr="0087386F" w:rsidRDefault="00BC4EC3" w:rsidP="00360B95">
                              <w:pPr>
                                <w:spacing w:after="0" w:line="240" w:lineRule="auto"/>
                                <w:jc w:val="both"/>
                                <w:rPr>
                                  <w:rFonts w:cs="Tahoma"/>
                                  <w:color w:val="FFFFFF" w:themeColor="background1"/>
                                  <w:sz w:val="18"/>
                                  <w:szCs w:val="18"/>
                                </w:rPr>
                              </w:pPr>
                              <w:r w:rsidRPr="005F1A97">
                                <w:rPr>
                                  <w:rFonts w:cs="Tahoma"/>
                                  <w:color w:val="FFFFFF" w:themeColor="background1"/>
                                  <w:sz w:val="16"/>
                                  <w:szCs w:val="16"/>
                                </w:rPr>
                                <w:t>Οι απόψεις στην παρούσα έκθεση  είναι των συγγραφέων και όχι απαραίτητα του ΣΕΒ. Ο ΣΕΒ δεν φέρει καμία ευθύνη για την ακρίβεια ή τη</w:t>
                              </w:r>
                              <w:r>
                                <w:rPr>
                                  <w:rFonts w:cs="Tahoma"/>
                                  <w:color w:val="FFFFFF" w:themeColor="background1"/>
                                  <w:sz w:val="16"/>
                                  <w:szCs w:val="16"/>
                                </w:rPr>
                                <w:t>ν</w:t>
                              </w:r>
                              <w:r w:rsidRPr="005F1A97">
                                <w:rPr>
                                  <w:rFonts w:cs="Tahoma"/>
                                  <w:color w:val="FFFFFF" w:themeColor="background1"/>
                                  <w:sz w:val="16"/>
                                  <w:szCs w:val="16"/>
                                </w:rPr>
                                <w:t xml:space="preserve"> πληρότητα των πληροφοριών που περιλαμβάνει η έκθεση</w:t>
                              </w:r>
                              <w:r>
                                <w:rPr>
                                  <w:rFonts w:cs="Tahoma"/>
                                  <w:color w:val="FFFFFF" w:themeColor="background1"/>
                                  <w:sz w:val="18"/>
                                  <w:szCs w:val="18"/>
                                </w:rPr>
                                <w:t>.</w:t>
                              </w:r>
                            </w:p>
                            <w:p w:rsidR="00BC4EC3" w:rsidRPr="00720293" w:rsidRDefault="00BC4EC3" w:rsidP="00360B95">
                              <w:pPr>
                                <w:spacing w:after="0" w:line="240" w:lineRule="auto"/>
                                <w:jc w:val="both"/>
                                <w:rPr>
                                  <w:b/>
                                  <w:color w:val="FFFFFF" w:themeColor="background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8.1pt;margin-top:532.9pt;width:155.2pt;height:3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" fillcolor="#365f91 [2404]" stroked="f">
                  <v:textbox>
                    <w:txbxContent>
                      <w:p w:rsidR="00BC4EC3" w:rsidRDefault="00BC4EC3" w:rsidP="008C3DCE">
                        <w:pPr>
                          <w:spacing w:after="0" w:line="240" w:lineRule="auto"/>
                          <w:rPr>
                            <w:b/>
                            <w:color w:val="FFFFFF" w:themeColor="background1"/>
                          </w:rPr>
                        </w:pPr>
                        <w:r>
                          <w:rPr>
                            <w:b/>
                            <w:color w:val="FFFFFF" w:themeColor="background1"/>
                          </w:rPr>
                          <w:t xml:space="preserve">Τομέας </w:t>
                        </w:r>
                        <w:r w:rsidRPr="0076116F">
                          <w:rPr>
                            <w:b/>
                            <w:color w:val="FFFFFF" w:themeColor="background1"/>
                          </w:rPr>
                          <w:t>Μακροοικονομικής Ανάλυσης</w:t>
                        </w:r>
                      </w:p>
                      <w:p w:rsidR="00BC4EC3" w:rsidRPr="0076116F" w:rsidRDefault="00BC4EC3" w:rsidP="008C3DCE">
                        <w:pPr>
                          <w:spacing w:after="0" w:line="240" w:lineRule="auto"/>
                          <w:rPr>
                            <w:b/>
                            <w:color w:val="FFFFFF" w:themeColor="background1"/>
                          </w:rPr>
                        </w:pPr>
                        <w:r w:rsidRPr="0076116F">
                          <w:rPr>
                            <w:b/>
                            <w:color w:val="FFFFFF" w:themeColor="background1"/>
                          </w:rPr>
                          <w:t>και Ευρωπαϊκής Πολιτικής</w:t>
                        </w:r>
                      </w:p>
                      <w:p w:rsidR="00BC4EC3" w:rsidRDefault="00BC4EC3" w:rsidP="008C3DCE">
                        <w:pPr>
                          <w:spacing w:after="0" w:line="240" w:lineRule="auto"/>
                          <w:rPr>
                            <w:b/>
                            <w:color w:val="FFFFFF" w:themeColor="background1"/>
                            <w:sz w:val="18"/>
                            <w:szCs w:val="18"/>
                          </w:rPr>
                        </w:pPr>
                      </w:p>
                      <w:p w:rsidR="00BC4EC3" w:rsidRPr="00A51C94" w:rsidRDefault="00BC4EC3" w:rsidP="008C3DCE">
                        <w:pPr>
                          <w:spacing w:after="0" w:line="240" w:lineRule="auto"/>
                          <w:rPr>
                            <w:b/>
                            <w:color w:val="FFFFFF" w:themeColor="background1"/>
                            <w:sz w:val="18"/>
                            <w:szCs w:val="18"/>
                            <w:lang w:val="en-US"/>
                          </w:rPr>
                        </w:pPr>
                        <w:r w:rsidRPr="004D0C4D">
                          <w:rPr>
                            <w:b/>
                            <w:color w:val="FFFFFF" w:themeColor="background1"/>
                            <w:sz w:val="18"/>
                            <w:szCs w:val="18"/>
                          </w:rPr>
                          <w:t>Μιχάλης</w:t>
                        </w:r>
                        <w:r w:rsidRPr="00AB0970">
                          <w:rPr>
                            <w:b/>
                            <w:color w:val="FFFFFF" w:themeColor="background1"/>
                            <w:sz w:val="18"/>
                            <w:szCs w:val="18"/>
                            <w:lang w:val="en-US"/>
                          </w:rPr>
                          <w:t xml:space="preserve"> </w:t>
                        </w:r>
                        <w:r w:rsidRPr="004D0C4D">
                          <w:rPr>
                            <w:b/>
                            <w:color w:val="FFFFFF" w:themeColor="background1"/>
                            <w:sz w:val="18"/>
                            <w:szCs w:val="18"/>
                          </w:rPr>
                          <w:t>Μασουράκης</w:t>
                        </w:r>
                      </w:p>
                      <w:p w:rsidR="00BC4EC3" w:rsidRPr="00A51C94" w:rsidRDefault="00BC4EC3" w:rsidP="008C3DCE">
                        <w:pPr>
                          <w:widowControl w:val="0"/>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Chief</w:t>
                        </w:r>
                        <w:r w:rsidRPr="00AB0970">
                          <w:rPr>
                            <w:rFonts w:cs="Tahoma"/>
                            <w:b/>
                            <w:color w:val="FFFFFF" w:themeColor="background1"/>
                            <w:sz w:val="18"/>
                            <w:szCs w:val="18"/>
                            <w:lang w:val="en-US"/>
                          </w:rPr>
                          <w:t xml:space="preserve"> </w:t>
                        </w:r>
                        <w:r w:rsidRPr="004D0C4D">
                          <w:rPr>
                            <w:rFonts w:cs="Tahoma"/>
                            <w:b/>
                            <w:color w:val="FFFFFF" w:themeColor="background1"/>
                            <w:sz w:val="18"/>
                            <w:szCs w:val="18"/>
                            <w:lang w:val="en-US"/>
                          </w:rPr>
                          <w:t>Economist</w:t>
                        </w:r>
                      </w:p>
                      <w:p w:rsidR="00BC4EC3" w:rsidRPr="00A51C94" w:rsidRDefault="00BC4EC3"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A51C94">
                          <w:rPr>
                            <w:rFonts w:cs="Tahoma"/>
                            <w:color w:val="FFFFFF" w:themeColor="background1"/>
                            <w:sz w:val="18"/>
                            <w:szCs w:val="18"/>
                            <w:lang w:val="en-US"/>
                          </w:rPr>
                          <w:t xml:space="preserve">: </w:t>
                        </w:r>
                        <w:hyperlink r:id="rId4" w:history="1">
                          <w:r w:rsidRPr="004D0C4D">
                            <w:rPr>
                              <w:rFonts w:cs="Tahoma"/>
                              <w:color w:val="FFFFFF" w:themeColor="background1"/>
                              <w:sz w:val="18"/>
                              <w:szCs w:val="18"/>
                              <w:lang w:val="en-US"/>
                            </w:rPr>
                            <w:t>mmassourakis</w:t>
                          </w:r>
                          <w:r w:rsidRPr="00A51C94">
                            <w:rPr>
                              <w:rFonts w:cs="Tahoma"/>
                              <w:color w:val="FFFFFF" w:themeColor="background1"/>
                              <w:sz w:val="18"/>
                              <w:szCs w:val="18"/>
                              <w:lang w:val="en-US"/>
                            </w:rPr>
                            <w:t>@</w:t>
                          </w:r>
                          <w:r w:rsidRPr="004D0C4D">
                            <w:rPr>
                              <w:rFonts w:cs="Tahoma"/>
                              <w:color w:val="FFFFFF" w:themeColor="background1"/>
                              <w:sz w:val="18"/>
                              <w:szCs w:val="18"/>
                              <w:lang w:val="en-US"/>
                            </w:rPr>
                            <w:t>sev</w:t>
                          </w:r>
                          <w:r w:rsidRPr="00A51C94">
                            <w:rPr>
                              <w:rFonts w:cs="Tahoma"/>
                              <w:color w:val="FFFFFF" w:themeColor="background1"/>
                              <w:sz w:val="18"/>
                              <w:szCs w:val="18"/>
                              <w:lang w:val="en-US"/>
                            </w:rPr>
                            <w:t>.</w:t>
                          </w:r>
                          <w:r w:rsidRPr="004D0C4D">
                            <w:rPr>
                              <w:rFonts w:cs="Tahoma"/>
                              <w:color w:val="FFFFFF" w:themeColor="background1"/>
                              <w:sz w:val="18"/>
                              <w:szCs w:val="18"/>
                              <w:lang w:val="en-US"/>
                            </w:rPr>
                            <w:t>org</w:t>
                          </w:r>
                          <w:r w:rsidRPr="00A51C94">
                            <w:rPr>
                              <w:rFonts w:cs="Tahoma"/>
                              <w:color w:val="FFFFFF" w:themeColor="background1"/>
                              <w:sz w:val="18"/>
                              <w:szCs w:val="18"/>
                              <w:lang w:val="en-US"/>
                            </w:rPr>
                            <w:t>.</w:t>
                          </w:r>
                          <w:r w:rsidRPr="004D0C4D">
                            <w:rPr>
                              <w:rFonts w:cs="Tahoma"/>
                              <w:color w:val="FFFFFF" w:themeColor="background1"/>
                              <w:sz w:val="18"/>
                              <w:szCs w:val="18"/>
                              <w:lang w:val="en-US"/>
                            </w:rPr>
                            <w:t>gr</w:t>
                          </w:r>
                        </w:hyperlink>
                      </w:p>
                      <w:p w:rsidR="00BC4EC3" w:rsidRPr="00892590" w:rsidRDefault="00BC4EC3" w:rsidP="008C3DCE">
                        <w:pPr>
                          <w:spacing w:after="0" w:line="240" w:lineRule="auto"/>
                          <w:rPr>
                            <w:color w:val="FFFFFF" w:themeColor="background1"/>
                            <w:sz w:val="18"/>
                            <w:szCs w:val="18"/>
                            <w:lang w:val="en-US"/>
                          </w:rPr>
                        </w:pPr>
                        <w:r w:rsidRPr="004D0C4D">
                          <w:rPr>
                            <w:rFonts w:cs="Tahoma"/>
                            <w:color w:val="FFFFFF" w:themeColor="background1"/>
                            <w:sz w:val="18"/>
                            <w:szCs w:val="18"/>
                          </w:rPr>
                          <w:t>Τ</w:t>
                        </w:r>
                        <w:r w:rsidRPr="00892590">
                          <w:rPr>
                            <w:rFonts w:cs="Tahoma"/>
                            <w:color w:val="FFFFFF" w:themeColor="background1"/>
                            <w:sz w:val="18"/>
                            <w:szCs w:val="18"/>
                            <w:lang w:val="en-US"/>
                          </w:rPr>
                          <w:t>: +30 211 500 6104</w:t>
                        </w:r>
                      </w:p>
                      <w:p w:rsidR="00BC4EC3" w:rsidRPr="00892590" w:rsidRDefault="00BC4EC3" w:rsidP="008C3DCE">
                        <w:pPr>
                          <w:spacing w:after="0" w:line="240" w:lineRule="auto"/>
                          <w:rPr>
                            <w:color w:val="FFFFFF" w:themeColor="background1"/>
                            <w:sz w:val="18"/>
                            <w:szCs w:val="18"/>
                            <w:lang w:val="en-US"/>
                          </w:rPr>
                        </w:pPr>
                      </w:p>
                      <w:p w:rsidR="00BC4EC3" w:rsidRPr="00892590" w:rsidRDefault="00BC4EC3" w:rsidP="008C3DCE">
                        <w:pPr>
                          <w:spacing w:after="0" w:line="240" w:lineRule="auto"/>
                          <w:rPr>
                            <w:b/>
                            <w:color w:val="FFFFFF" w:themeColor="background1"/>
                            <w:sz w:val="18"/>
                            <w:szCs w:val="18"/>
                            <w:lang w:val="en-US"/>
                          </w:rPr>
                        </w:pPr>
                        <w:r w:rsidRPr="004D0C4D">
                          <w:rPr>
                            <w:b/>
                            <w:color w:val="FFFFFF" w:themeColor="background1"/>
                            <w:sz w:val="18"/>
                            <w:szCs w:val="18"/>
                          </w:rPr>
                          <w:t>Μιχάλης</w:t>
                        </w:r>
                        <w:r w:rsidRPr="00892590">
                          <w:rPr>
                            <w:b/>
                            <w:color w:val="FFFFFF" w:themeColor="background1"/>
                            <w:sz w:val="18"/>
                            <w:szCs w:val="18"/>
                            <w:lang w:val="en-US"/>
                          </w:rPr>
                          <w:t xml:space="preserve"> </w:t>
                        </w:r>
                        <w:r w:rsidRPr="004D0C4D">
                          <w:rPr>
                            <w:b/>
                            <w:color w:val="FFFFFF" w:themeColor="background1"/>
                            <w:sz w:val="18"/>
                            <w:szCs w:val="18"/>
                          </w:rPr>
                          <w:t>Μητσόπουλος</w:t>
                        </w:r>
                      </w:p>
                      <w:p w:rsidR="00BC4EC3" w:rsidRPr="00892590" w:rsidRDefault="00BC4EC3" w:rsidP="008C3DCE">
                        <w:pPr>
                          <w:widowControl w:val="0"/>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Senior</w:t>
                        </w:r>
                        <w:r w:rsidRPr="00892590">
                          <w:rPr>
                            <w:rFonts w:cs="Tahoma"/>
                            <w:b/>
                            <w:color w:val="FFFFFF" w:themeColor="background1"/>
                            <w:sz w:val="18"/>
                            <w:szCs w:val="18"/>
                            <w:lang w:val="en-US"/>
                          </w:rPr>
                          <w:t xml:space="preserve"> </w:t>
                        </w:r>
                        <w:r w:rsidRPr="004D0C4D">
                          <w:rPr>
                            <w:rFonts w:cs="Tahoma"/>
                            <w:b/>
                            <w:color w:val="FFFFFF" w:themeColor="background1"/>
                            <w:sz w:val="18"/>
                            <w:szCs w:val="18"/>
                            <w:lang w:val="en-US"/>
                          </w:rPr>
                          <w:t>Advisor</w:t>
                        </w:r>
                      </w:p>
                      <w:p w:rsidR="00BC4EC3" w:rsidRPr="00892590" w:rsidRDefault="00BC4EC3"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892590">
                          <w:rPr>
                            <w:rFonts w:cs="Tahoma"/>
                            <w:color w:val="FFFFFF" w:themeColor="background1"/>
                            <w:sz w:val="18"/>
                            <w:szCs w:val="18"/>
                            <w:lang w:val="en-US"/>
                          </w:rPr>
                          <w:t xml:space="preserve">: </w:t>
                        </w:r>
                        <w:hyperlink r:id="rId5" w:history="1">
                          <w:r w:rsidRPr="004D0C4D">
                            <w:rPr>
                              <w:color w:val="FFFFFF" w:themeColor="background1"/>
                              <w:sz w:val="18"/>
                              <w:szCs w:val="18"/>
                              <w:lang w:val="en-US"/>
                            </w:rPr>
                            <w:t>mmitsopoulos</w:t>
                          </w:r>
                          <w:r w:rsidRPr="00892590">
                            <w:rPr>
                              <w:color w:val="FFFFFF" w:themeColor="background1"/>
                              <w:sz w:val="18"/>
                              <w:szCs w:val="18"/>
                              <w:lang w:val="en-US"/>
                            </w:rPr>
                            <w:t>@</w:t>
                          </w:r>
                          <w:r w:rsidRPr="004D0C4D">
                            <w:rPr>
                              <w:color w:val="FFFFFF" w:themeColor="background1"/>
                              <w:sz w:val="18"/>
                              <w:szCs w:val="18"/>
                              <w:lang w:val="en-US"/>
                            </w:rPr>
                            <w:t>sev</w:t>
                          </w:r>
                          <w:r w:rsidRPr="00892590">
                            <w:rPr>
                              <w:color w:val="FFFFFF" w:themeColor="background1"/>
                              <w:sz w:val="18"/>
                              <w:szCs w:val="18"/>
                              <w:lang w:val="en-US"/>
                            </w:rPr>
                            <w:t>.</w:t>
                          </w:r>
                          <w:r w:rsidRPr="004D0C4D">
                            <w:rPr>
                              <w:color w:val="FFFFFF" w:themeColor="background1"/>
                              <w:sz w:val="18"/>
                              <w:szCs w:val="18"/>
                              <w:lang w:val="en-US"/>
                            </w:rPr>
                            <w:t>org</w:t>
                          </w:r>
                          <w:r w:rsidRPr="00892590">
                            <w:rPr>
                              <w:color w:val="FFFFFF" w:themeColor="background1"/>
                              <w:sz w:val="18"/>
                              <w:szCs w:val="18"/>
                              <w:lang w:val="en-US"/>
                            </w:rPr>
                            <w:t>.</w:t>
                          </w:r>
                          <w:r w:rsidRPr="004D0C4D">
                            <w:rPr>
                              <w:color w:val="FFFFFF" w:themeColor="background1"/>
                              <w:sz w:val="18"/>
                              <w:szCs w:val="18"/>
                              <w:lang w:val="en-US"/>
                            </w:rPr>
                            <w:t>gr</w:t>
                          </w:r>
                        </w:hyperlink>
                      </w:p>
                      <w:p w:rsidR="00BC4EC3" w:rsidRPr="00543EC3" w:rsidRDefault="00BC4EC3" w:rsidP="008C3DCE">
                        <w:pPr>
                          <w:spacing w:after="0" w:line="240" w:lineRule="auto"/>
                          <w:rPr>
                            <w:color w:val="FFFFFF" w:themeColor="background1"/>
                            <w:sz w:val="18"/>
                            <w:szCs w:val="18"/>
                            <w:lang w:val="en-US"/>
                          </w:rPr>
                        </w:pPr>
                        <w:r w:rsidRPr="004D0C4D">
                          <w:rPr>
                            <w:rFonts w:cs="Tahoma"/>
                            <w:color w:val="FFFFFF" w:themeColor="background1"/>
                            <w:sz w:val="18"/>
                            <w:szCs w:val="18"/>
                          </w:rPr>
                          <w:t>Τ</w:t>
                        </w:r>
                        <w:r w:rsidRPr="00543EC3">
                          <w:rPr>
                            <w:rFonts w:cs="Tahoma"/>
                            <w:color w:val="FFFFFF" w:themeColor="background1"/>
                            <w:sz w:val="18"/>
                            <w:szCs w:val="18"/>
                            <w:lang w:val="en-US"/>
                          </w:rPr>
                          <w:t>: +30</w:t>
                        </w:r>
                        <w:r w:rsidRPr="00AB0970">
                          <w:rPr>
                            <w:rFonts w:cs="Tahoma"/>
                            <w:color w:val="FFFFFF" w:themeColor="background1"/>
                            <w:sz w:val="18"/>
                            <w:szCs w:val="18"/>
                            <w:lang w:val="en-US"/>
                          </w:rPr>
                          <w:t xml:space="preserve"> </w:t>
                        </w:r>
                        <w:r w:rsidRPr="00543EC3">
                          <w:rPr>
                            <w:rFonts w:cs="Tahoma"/>
                            <w:color w:val="FFFFFF" w:themeColor="background1"/>
                            <w:sz w:val="18"/>
                            <w:szCs w:val="18"/>
                            <w:lang w:val="en-US"/>
                          </w:rPr>
                          <w:t>211</w:t>
                        </w:r>
                        <w:r w:rsidRPr="00AB0970">
                          <w:rPr>
                            <w:rFonts w:cs="Tahoma"/>
                            <w:color w:val="FFFFFF" w:themeColor="background1"/>
                            <w:sz w:val="18"/>
                            <w:szCs w:val="18"/>
                            <w:lang w:val="en-US"/>
                          </w:rPr>
                          <w:t xml:space="preserve"> </w:t>
                        </w:r>
                        <w:r w:rsidRPr="00543EC3">
                          <w:rPr>
                            <w:rFonts w:cs="Tahoma"/>
                            <w:color w:val="FFFFFF" w:themeColor="background1"/>
                            <w:sz w:val="18"/>
                            <w:szCs w:val="18"/>
                            <w:lang w:val="en-US"/>
                          </w:rPr>
                          <w:t>500</w:t>
                        </w:r>
                        <w:r w:rsidRPr="00AB0970">
                          <w:rPr>
                            <w:rFonts w:cs="Tahoma"/>
                            <w:color w:val="FFFFFF" w:themeColor="background1"/>
                            <w:sz w:val="18"/>
                            <w:szCs w:val="18"/>
                            <w:lang w:val="en-US"/>
                          </w:rPr>
                          <w:t xml:space="preserve"> </w:t>
                        </w:r>
                        <w:r w:rsidRPr="00543EC3">
                          <w:rPr>
                            <w:rFonts w:cs="Tahoma"/>
                            <w:color w:val="FFFFFF" w:themeColor="background1"/>
                            <w:sz w:val="18"/>
                            <w:szCs w:val="18"/>
                            <w:lang w:val="en-US"/>
                          </w:rPr>
                          <w:t>6157</w:t>
                        </w:r>
                      </w:p>
                      <w:p w:rsidR="00BC4EC3" w:rsidRPr="00543EC3" w:rsidRDefault="00BC4EC3" w:rsidP="008C3DCE">
                        <w:pPr>
                          <w:spacing w:after="0" w:line="240" w:lineRule="auto"/>
                          <w:rPr>
                            <w:color w:val="FFFFFF" w:themeColor="background1"/>
                            <w:sz w:val="18"/>
                            <w:szCs w:val="18"/>
                            <w:lang w:val="en-US"/>
                          </w:rPr>
                        </w:pPr>
                      </w:p>
                      <w:p w:rsidR="00BC4EC3" w:rsidRPr="00543EC3" w:rsidRDefault="00BC4EC3" w:rsidP="008C3DCE">
                        <w:pPr>
                          <w:spacing w:after="0" w:line="240" w:lineRule="auto"/>
                          <w:rPr>
                            <w:b/>
                            <w:color w:val="FFFFFF" w:themeColor="background1"/>
                            <w:sz w:val="18"/>
                            <w:szCs w:val="18"/>
                            <w:lang w:val="en-US"/>
                          </w:rPr>
                        </w:pPr>
                        <w:r w:rsidRPr="004D0C4D">
                          <w:rPr>
                            <w:b/>
                            <w:color w:val="FFFFFF" w:themeColor="background1"/>
                            <w:sz w:val="18"/>
                            <w:szCs w:val="18"/>
                          </w:rPr>
                          <w:t>ΘανάσηςΠρίντσιπας</w:t>
                        </w:r>
                      </w:p>
                      <w:p w:rsidR="00BC4EC3" w:rsidRPr="006F0F49" w:rsidRDefault="00BC4EC3" w:rsidP="008C3DCE">
                        <w:pPr>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A</w:t>
                        </w:r>
                        <w:r>
                          <w:rPr>
                            <w:rFonts w:cs="Tahoma"/>
                            <w:b/>
                            <w:color w:val="FFFFFF" w:themeColor="background1"/>
                            <w:sz w:val="18"/>
                            <w:szCs w:val="18"/>
                            <w:lang w:val="en-US"/>
                          </w:rPr>
                          <w:t>ssociate A</w:t>
                        </w:r>
                        <w:r w:rsidRPr="004D0C4D">
                          <w:rPr>
                            <w:rFonts w:cs="Tahoma"/>
                            <w:b/>
                            <w:color w:val="FFFFFF" w:themeColor="background1"/>
                            <w:sz w:val="18"/>
                            <w:szCs w:val="18"/>
                            <w:lang w:val="en-US"/>
                          </w:rPr>
                          <w:t>dvisor</w:t>
                        </w:r>
                      </w:p>
                      <w:p w:rsidR="00BC4EC3" w:rsidRPr="006F0F49" w:rsidRDefault="00BC4EC3"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6F0F49">
                          <w:rPr>
                            <w:rFonts w:cs="Tahoma"/>
                            <w:color w:val="FFFFFF" w:themeColor="background1"/>
                            <w:sz w:val="18"/>
                            <w:szCs w:val="18"/>
                            <w:lang w:val="en-US"/>
                          </w:rPr>
                          <w:t xml:space="preserve">: </w:t>
                        </w:r>
                        <w:hyperlink r:id="rId6" w:history="1">
                          <w:r w:rsidRPr="004D0C4D">
                            <w:rPr>
                              <w:rFonts w:cs="Tahoma"/>
                              <w:color w:val="FFFFFF" w:themeColor="background1"/>
                              <w:sz w:val="18"/>
                              <w:szCs w:val="18"/>
                              <w:lang w:val="en-US"/>
                            </w:rPr>
                            <w:t>printsipas</w:t>
                          </w:r>
                          <w:r w:rsidRPr="006F0F49">
                            <w:rPr>
                              <w:rFonts w:cs="Tahoma"/>
                              <w:color w:val="FFFFFF" w:themeColor="background1"/>
                              <w:sz w:val="18"/>
                              <w:szCs w:val="18"/>
                              <w:lang w:val="en-US"/>
                            </w:rPr>
                            <w:t>@</w:t>
                          </w:r>
                          <w:r w:rsidRPr="004D0C4D">
                            <w:rPr>
                              <w:rFonts w:cs="Tahoma"/>
                              <w:color w:val="FFFFFF" w:themeColor="background1"/>
                              <w:sz w:val="18"/>
                              <w:szCs w:val="18"/>
                              <w:lang w:val="en-US"/>
                            </w:rPr>
                            <w:t>sev</w:t>
                          </w:r>
                          <w:r w:rsidRPr="006F0F49">
                            <w:rPr>
                              <w:rFonts w:cs="Tahoma"/>
                              <w:color w:val="FFFFFF" w:themeColor="background1"/>
                              <w:sz w:val="18"/>
                              <w:szCs w:val="18"/>
                              <w:lang w:val="en-US"/>
                            </w:rPr>
                            <w:t>.</w:t>
                          </w:r>
                          <w:r w:rsidRPr="004D0C4D">
                            <w:rPr>
                              <w:rFonts w:cs="Tahoma"/>
                              <w:color w:val="FFFFFF" w:themeColor="background1"/>
                              <w:sz w:val="18"/>
                              <w:szCs w:val="18"/>
                              <w:lang w:val="en-US"/>
                            </w:rPr>
                            <w:t>org</w:t>
                          </w:r>
                          <w:r w:rsidRPr="006F0F49">
                            <w:rPr>
                              <w:rFonts w:cs="Tahoma"/>
                              <w:color w:val="FFFFFF" w:themeColor="background1"/>
                              <w:sz w:val="18"/>
                              <w:szCs w:val="18"/>
                              <w:lang w:val="en-US"/>
                            </w:rPr>
                            <w:t>.</w:t>
                          </w:r>
                          <w:r w:rsidRPr="004D0C4D">
                            <w:rPr>
                              <w:rFonts w:cs="Tahoma"/>
                              <w:color w:val="FFFFFF" w:themeColor="background1"/>
                              <w:sz w:val="18"/>
                              <w:szCs w:val="18"/>
                              <w:lang w:val="en-US"/>
                            </w:rPr>
                            <w:t>gr</w:t>
                          </w:r>
                        </w:hyperlink>
                      </w:p>
                      <w:p w:rsidR="00BC4EC3" w:rsidRPr="006C407D" w:rsidRDefault="00BC4EC3" w:rsidP="008C3DCE">
                        <w:pPr>
                          <w:spacing w:after="0" w:line="240" w:lineRule="auto"/>
                          <w:rPr>
                            <w:rFonts w:cs="Tahoma"/>
                            <w:color w:val="FFFFFF" w:themeColor="background1"/>
                            <w:sz w:val="18"/>
                            <w:szCs w:val="18"/>
                          </w:rPr>
                        </w:pPr>
                        <w:r w:rsidRPr="004D0C4D">
                          <w:rPr>
                            <w:rFonts w:cs="Tahoma"/>
                            <w:color w:val="FFFFFF" w:themeColor="background1"/>
                            <w:sz w:val="18"/>
                            <w:szCs w:val="18"/>
                          </w:rPr>
                          <w:t>Τ</w:t>
                        </w:r>
                        <w:r w:rsidRPr="006C407D">
                          <w:rPr>
                            <w:rFonts w:cs="Tahoma"/>
                            <w:color w:val="FFFFFF" w:themeColor="background1"/>
                            <w:sz w:val="18"/>
                            <w:szCs w:val="18"/>
                          </w:rPr>
                          <w:t>: +30</w:t>
                        </w:r>
                        <w:r>
                          <w:rPr>
                            <w:rFonts w:cs="Tahoma"/>
                            <w:color w:val="FFFFFF" w:themeColor="background1"/>
                            <w:sz w:val="18"/>
                            <w:szCs w:val="18"/>
                          </w:rPr>
                          <w:t xml:space="preserve"> </w:t>
                        </w:r>
                        <w:r w:rsidRPr="006C407D">
                          <w:rPr>
                            <w:rFonts w:cs="Tahoma"/>
                            <w:color w:val="FFFFFF" w:themeColor="background1"/>
                            <w:sz w:val="18"/>
                            <w:szCs w:val="18"/>
                          </w:rPr>
                          <w:t>211</w:t>
                        </w:r>
                        <w:r>
                          <w:rPr>
                            <w:rFonts w:cs="Tahoma"/>
                            <w:color w:val="FFFFFF" w:themeColor="background1"/>
                            <w:sz w:val="18"/>
                            <w:szCs w:val="18"/>
                          </w:rPr>
                          <w:t xml:space="preserve"> </w:t>
                        </w:r>
                        <w:r w:rsidRPr="006C407D">
                          <w:rPr>
                            <w:rFonts w:cs="Tahoma"/>
                            <w:color w:val="FFFFFF" w:themeColor="background1"/>
                            <w:sz w:val="18"/>
                            <w:szCs w:val="18"/>
                          </w:rPr>
                          <w:t>500</w:t>
                        </w:r>
                        <w:r>
                          <w:rPr>
                            <w:rFonts w:cs="Tahoma"/>
                            <w:color w:val="FFFFFF" w:themeColor="background1"/>
                            <w:sz w:val="18"/>
                            <w:szCs w:val="18"/>
                          </w:rPr>
                          <w:t xml:space="preserve"> </w:t>
                        </w:r>
                        <w:r w:rsidRPr="006C407D">
                          <w:rPr>
                            <w:rFonts w:cs="Tahoma"/>
                            <w:color w:val="FFFFFF" w:themeColor="background1"/>
                            <w:sz w:val="18"/>
                            <w:szCs w:val="18"/>
                          </w:rPr>
                          <w:t>6176</w:t>
                        </w:r>
                      </w:p>
                      <w:p w:rsidR="00BC4EC3" w:rsidRPr="006C407D" w:rsidRDefault="00BC4EC3" w:rsidP="008C3DCE">
                        <w:pPr>
                          <w:spacing w:after="0" w:line="240" w:lineRule="auto"/>
                          <w:rPr>
                            <w:rFonts w:cs="Tahoma"/>
                            <w:color w:val="FFFFFF" w:themeColor="background1"/>
                            <w:sz w:val="8"/>
                            <w:szCs w:val="8"/>
                          </w:rPr>
                        </w:pPr>
                      </w:p>
                      <w:p w:rsidR="00BC4EC3" w:rsidRPr="0087386F" w:rsidRDefault="00BC4EC3" w:rsidP="00360B95">
                        <w:pPr>
                          <w:spacing w:after="0" w:line="240" w:lineRule="auto"/>
                          <w:jc w:val="both"/>
                          <w:rPr>
                            <w:rFonts w:cs="Tahoma"/>
                            <w:color w:val="FFFFFF" w:themeColor="background1"/>
                            <w:sz w:val="18"/>
                            <w:szCs w:val="18"/>
                          </w:rPr>
                        </w:pPr>
                        <w:r w:rsidRPr="005F1A97">
                          <w:rPr>
                            <w:rFonts w:cs="Tahoma"/>
                            <w:color w:val="FFFFFF" w:themeColor="background1"/>
                            <w:sz w:val="16"/>
                            <w:szCs w:val="16"/>
                          </w:rPr>
                          <w:t>Οι απόψεις στην παρούσα έκθεση  είναι των συγγραφέων και όχι απαραίτητα του ΣΕΒ. Ο ΣΕΒ δεν φέρει καμία ευθύνη για την ακρίβεια ή τη</w:t>
                        </w:r>
                        <w:r>
                          <w:rPr>
                            <w:rFonts w:cs="Tahoma"/>
                            <w:color w:val="FFFFFF" w:themeColor="background1"/>
                            <w:sz w:val="16"/>
                            <w:szCs w:val="16"/>
                          </w:rPr>
                          <w:t>ν</w:t>
                        </w:r>
                        <w:r w:rsidRPr="005F1A97">
                          <w:rPr>
                            <w:rFonts w:cs="Tahoma"/>
                            <w:color w:val="FFFFFF" w:themeColor="background1"/>
                            <w:sz w:val="16"/>
                            <w:szCs w:val="16"/>
                          </w:rPr>
                          <w:t xml:space="preserve"> πληρότητα των πληροφοριών που περιλαμβάνει η έκθεση</w:t>
                        </w:r>
                        <w:r>
                          <w:rPr>
                            <w:rFonts w:cs="Tahoma"/>
                            <w:color w:val="FFFFFF" w:themeColor="background1"/>
                            <w:sz w:val="18"/>
                            <w:szCs w:val="18"/>
                          </w:rPr>
                          <w:t>.</w:t>
                        </w:r>
                      </w:p>
                      <w:p w:rsidR="00BC4EC3" w:rsidRPr="00720293" w:rsidRDefault="00BC4EC3" w:rsidP="00360B95">
                        <w:pPr>
                          <w:spacing w:after="0" w:line="240" w:lineRule="auto"/>
                          <w:jc w:val="both"/>
                          <w:rPr>
                            <w:b/>
                            <w:color w:val="FFFFFF" w:themeColor="background1"/>
                            <w:sz w:val="18"/>
                            <w:szCs w:val="18"/>
                          </w:rPr>
                        </w:pPr>
                      </w:p>
                    </w:txbxContent>
                  </v:textbox>
                  <w10:wrap anchory="page"/>
                </v:shape>
              </w:pict>
            </mc:Fallback>
          </mc:AlternateContent>
        </w:r>
        <w:r w:rsidR="00BC4EC3">
          <w:rPr>
            <w:noProof/>
          </w:rPr>
          <w:drawing>
            <wp:anchor distT="0" distB="0" distL="114300" distR="114300" simplePos="0" relativeHeight="251653120" behindDoc="1" locked="0" layoutInCell="1" allowOverlap="1">
              <wp:simplePos x="0" y="0"/>
              <wp:positionH relativeFrom="column">
                <wp:posOffset>2576830</wp:posOffset>
              </wp:positionH>
              <wp:positionV relativeFrom="paragraph">
                <wp:posOffset>-2830195</wp:posOffset>
              </wp:positionV>
              <wp:extent cx="4502150" cy="324358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_PPT.png"/>
                      <pic:cNvPicPr/>
                    </pic:nvPicPr>
                    <pic:blipFill rotWithShape="1">
                      <a:blip r:embed="rId7">
                        <a:extLst>
                          <a:ext uri="{28A0092B-C50C-407E-A947-70E740481C1C}">
                            <a14:useLocalDpi xmlns:a14="http://schemas.microsoft.com/office/drawing/2010/main" val="0"/>
                          </a:ext>
                        </a:extLst>
                      </a:blip>
                      <a:srcRect l="14624" t="50485"/>
                      <a:stretch/>
                    </pic:blipFill>
                    <pic:spPr bwMode="auto">
                      <a:xfrm>
                        <a:off x="0" y="0"/>
                        <a:ext cx="4502150" cy="3243580"/>
                      </a:xfrm>
                      <a:prstGeom prst="rect">
                        <a:avLst/>
                      </a:prstGeom>
                      <a:ln>
                        <a:noFill/>
                      </a:ln>
                      <a:extLst>
                        <a:ext uri="{53640926-AAD7-44D8-BBD7-CCE9431645EC}">
                          <a14:shadowObscured xmlns:a14="http://schemas.microsoft.com/office/drawing/2010/main"/>
                        </a:ext>
                      </a:extLst>
                    </pic:spPr>
                  </pic:pic>
                </a:graphicData>
              </a:graphic>
            </wp:anchor>
          </w:drawing>
        </w:r>
        <w:r w:rsidR="00BC4EC3">
          <w:tab/>
        </w:r>
        <w:r w:rsidR="00BC4EC3">
          <w:tab/>
        </w:r>
        <w:r w:rsidR="00BC4EC3">
          <w:tab/>
        </w:r>
        <w:r w:rsidR="00BC4EC3">
          <w:tab/>
        </w:r>
        <w:r w:rsidR="00BC4EC3">
          <w:tab/>
        </w:r>
        <w:r w:rsidR="00BA2275" w:rsidRPr="00AD6868">
          <w:rPr>
            <w:sz w:val="18"/>
            <w:szCs w:val="18"/>
          </w:rPr>
          <w:fldChar w:fldCharType="begin"/>
        </w:r>
        <w:r w:rsidR="00BC4EC3" w:rsidRPr="00AD6868">
          <w:rPr>
            <w:sz w:val="18"/>
            <w:szCs w:val="18"/>
          </w:rPr>
          <w:instrText xml:space="preserve"> PAGE   \* MERGEFORMAT </w:instrText>
        </w:r>
        <w:r w:rsidR="00BA2275" w:rsidRPr="00AD6868">
          <w:rPr>
            <w:sz w:val="18"/>
            <w:szCs w:val="18"/>
          </w:rPr>
          <w:fldChar w:fldCharType="separate"/>
        </w:r>
        <w:r>
          <w:rPr>
            <w:noProof/>
            <w:sz w:val="18"/>
            <w:szCs w:val="18"/>
          </w:rPr>
          <w:t>1</w:t>
        </w:r>
        <w:r w:rsidR="00BA2275" w:rsidRPr="00AD6868">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5C4" w:rsidRDefault="004765C4" w:rsidP="00846D99">
      <w:pPr>
        <w:spacing w:after="0" w:line="240" w:lineRule="auto"/>
      </w:pPr>
      <w:r>
        <w:separator/>
      </w:r>
    </w:p>
  </w:footnote>
  <w:footnote w:type="continuationSeparator" w:id="0">
    <w:p w:rsidR="004765C4" w:rsidRDefault="004765C4" w:rsidP="00846D99">
      <w:pPr>
        <w:spacing w:after="0" w:line="240" w:lineRule="auto"/>
      </w:pPr>
      <w:r>
        <w:continuationSeparator/>
      </w:r>
    </w:p>
  </w:footnote>
  <w:footnote w:type="continuationNotice" w:id="1">
    <w:p w:rsidR="004765C4" w:rsidRDefault="004765C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C3" w:rsidRDefault="004765C4">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6623" o:spid="_x0000_s2050" type="#_x0000_t75" style="position:absolute;margin-left:0;margin-top:0;width:414.9pt;height:586.5pt;z-index:-251653120;mso-position-horizontal:center;mso-position-horizontal-relative:margin;mso-position-vertical:center;mso-position-vertical-relative:margin" o:allowincell="f">
          <v:imagedata r:id="rId1" o:title="SE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C3" w:rsidRDefault="00E45264" w:rsidP="001C7821">
    <w:pPr>
      <w:pStyle w:val="a3"/>
      <w:tabs>
        <w:tab w:val="clear" w:pos="4153"/>
        <w:tab w:val="clear" w:pos="8306"/>
        <w:tab w:val="left" w:pos="7411"/>
      </w:tabs>
    </w:pPr>
    <w:r>
      <w:rPr>
        <w:noProof/>
        <w:sz w:val="24"/>
        <w:szCs w:val="24"/>
      </w:rPr>
      <mc:AlternateContent>
        <mc:Choice Requires="wps">
          <w:drawing>
            <wp:anchor distT="0" distB="0" distL="114300" distR="114300" simplePos="0" relativeHeight="251655168" behindDoc="1" locked="0" layoutInCell="1" allowOverlap="1">
              <wp:simplePos x="0" y="0"/>
              <wp:positionH relativeFrom="column">
                <wp:posOffset>1409700</wp:posOffset>
              </wp:positionH>
              <wp:positionV relativeFrom="paragraph">
                <wp:posOffset>-1905</wp:posOffset>
              </wp:positionV>
              <wp:extent cx="5283200" cy="352425"/>
              <wp:effectExtent l="0" t="0" r="0" b="9525"/>
              <wp:wrapTopAndBottom/>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5283200" cy="352425"/>
                      </a:xfrm>
                      <a:prstGeom prst="rect">
                        <a:avLst/>
                      </a:prstGeom>
                      <a:gradFill rotWithShape="1">
                        <a:gsLst>
                          <a:gs pos="67000">
                            <a:srgbClr val="CCCCE6"/>
                          </a:gs>
                          <a:gs pos="95000">
                            <a:srgbClr val="FFFFFF"/>
                          </a:gs>
                        </a:gsLst>
                        <a:lin ang="0" scaled="1"/>
                      </a:gradFill>
                      <a:ln>
                        <a:noFill/>
                      </a:ln>
                      <a:effectLst/>
                    </wps:spPr>
                    <wps:txbx>
                      <w:txbxContent>
                        <w:tbl>
                          <w:tblPr>
                            <w:tblStyle w:val="a6"/>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7371"/>
                          </w:tblGrid>
                          <w:tr w:rsidR="00BC4EC3" w:rsidTr="000C1B1A">
                            <w:tc>
                              <w:tcPr>
                                <w:tcW w:w="7371" w:type="dxa"/>
                              </w:tcPr>
                              <w:p w:rsidR="00BC4EC3" w:rsidRPr="000C1B1A" w:rsidRDefault="00BC4EC3" w:rsidP="000C59F6">
                                <w:pPr>
                                  <w:jc w:val="right"/>
                                  <w:rPr>
                                    <w:sz w:val="28"/>
                                    <w:szCs w:val="28"/>
                                  </w:rPr>
                                </w:pPr>
                                <w:r>
                                  <w:rPr>
                                    <w:b/>
                                    <w:color w:val="244061" w:themeColor="accent1" w:themeShade="80"/>
                                    <w:sz w:val="28"/>
                                    <w:szCs w:val="28"/>
                                  </w:rPr>
                                  <w:t>ο</w:t>
                                </w:r>
                                <w:r w:rsidRPr="000C1B1A">
                                  <w:rPr>
                                    <w:b/>
                                    <w:color w:val="244061" w:themeColor="accent1" w:themeShade="80"/>
                                    <w:sz w:val="28"/>
                                    <w:szCs w:val="28"/>
                                  </w:rPr>
                                  <w:t xml:space="preserve">ικονομία </w:t>
                                </w:r>
                                <w:r>
                                  <w:rPr>
                                    <w:b/>
                                    <w:color w:val="244061" w:themeColor="accent1" w:themeShade="80"/>
                                    <w:sz w:val="28"/>
                                    <w:szCs w:val="28"/>
                                  </w:rPr>
                                  <w:t>&amp; ε</w:t>
                                </w:r>
                                <w:r w:rsidRPr="000C1B1A">
                                  <w:rPr>
                                    <w:b/>
                                    <w:color w:val="244061" w:themeColor="accent1" w:themeShade="80"/>
                                    <w:sz w:val="28"/>
                                    <w:szCs w:val="28"/>
                                  </w:rPr>
                                  <w:t>πιχειρήσεις</w:t>
                                </w:r>
                              </w:p>
                            </w:tc>
                          </w:tr>
                        </w:tbl>
                        <w:p w:rsidR="00BC4EC3" w:rsidRDefault="00BC4EC3" w:rsidP="00E436A1">
                          <w:pPr>
                            <w:jc w:val="cente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1pt;margin-top:-.15pt;width:416pt;height:27.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" fillcolor="#cccce6" stroked="f">
              <v:fill rotate="t" angle="90" colors="0 #cccce6;43909f #cccce6" focus="100%" type="gradient"/>
              <o:lock v:ext="edit" shapetype="t"/>
              <v:textbox inset="2.88pt,2.88pt,2.88pt,2.88pt">
                <w:txbxContent>
                  <w:tbl>
                    <w:tblPr>
                      <w:tblStyle w:val="a6"/>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7371"/>
                    </w:tblGrid>
                    <w:tr w:rsidR="00BC4EC3" w:rsidTr="000C1B1A">
                      <w:tc>
                        <w:tcPr>
                          <w:tcW w:w="7371" w:type="dxa"/>
                        </w:tcPr>
                        <w:p w:rsidR="00BC4EC3" w:rsidRPr="000C1B1A" w:rsidRDefault="00BC4EC3" w:rsidP="000C59F6">
                          <w:pPr>
                            <w:jc w:val="right"/>
                            <w:rPr>
                              <w:sz w:val="28"/>
                              <w:szCs w:val="28"/>
                            </w:rPr>
                          </w:pPr>
                          <w:r>
                            <w:rPr>
                              <w:b/>
                              <w:color w:val="244061" w:themeColor="accent1" w:themeShade="80"/>
                              <w:sz w:val="28"/>
                              <w:szCs w:val="28"/>
                            </w:rPr>
                            <w:t>ο</w:t>
                          </w:r>
                          <w:r w:rsidRPr="000C1B1A">
                            <w:rPr>
                              <w:b/>
                              <w:color w:val="244061" w:themeColor="accent1" w:themeShade="80"/>
                              <w:sz w:val="28"/>
                              <w:szCs w:val="28"/>
                            </w:rPr>
                            <w:t xml:space="preserve">ικονομία </w:t>
                          </w:r>
                          <w:r>
                            <w:rPr>
                              <w:b/>
                              <w:color w:val="244061" w:themeColor="accent1" w:themeShade="80"/>
                              <w:sz w:val="28"/>
                              <w:szCs w:val="28"/>
                            </w:rPr>
                            <w:t>&amp; ε</w:t>
                          </w:r>
                          <w:r w:rsidRPr="000C1B1A">
                            <w:rPr>
                              <w:b/>
                              <w:color w:val="244061" w:themeColor="accent1" w:themeShade="80"/>
                              <w:sz w:val="28"/>
                              <w:szCs w:val="28"/>
                            </w:rPr>
                            <w:t>πιχειρήσεις</w:t>
                          </w:r>
                        </w:p>
                      </w:tc>
                    </w:tr>
                  </w:tbl>
                  <w:p w:rsidR="00BC4EC3" w:rsidRDefault="00BC4EC3" w:rsidP="00E436A1">
                    <w:pPr>
                      <w:jc w:val="center"/>
                    </w:pPr>
                  </w:p>
                </w:txbxContent>
              </v:textbox>
              <w10:wrap type="topAndBottom"/>
            </v:rect>
          </w:pict>
        </mc:Fallback>
      </mc:AlternateContent>
    </w:r>
    <w:r w:rsidR="00BC4EC3">
      <w:rPr>
        <w:noProof/>
      </w:rPr>
      <w:drawing>
        <wp:anchor distT="0" distB="0" distL="114300" distR="114300" simplePos="0" relativeHeight="251652096" behindDoc="1" locked="0" layoutInCell="1" allowOverlap="1">
          <wp:simplePos x="0" y="0"/>
          <wp:positionH relativeFrom="column">
            <wp:posOffset>-57785</wp:posOffset>
          </wp:positionH>
          <wp:positionV relativeFrom="paragraph">
            <wp:posOffset>-78740</wp:posOffset>
          </wp:positionV>
          <wp:extent cx="1367790" cy="614045"/>
          <wp:effectExtent l="0" t="0" r="3810" b="0"/>
          <wp:wrapTopAndBottom/>
          <wp:docPr id="43" name="Picture 43" descr="gr_epist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epist_top"/>
                  <pic:cNvPicPr>
                    <a:picLocks noChangeAspect="1" noChangeArrowheads="1"/>
                  </pic:cNvPicPr>
                </pic:nvPicPr>
                <pic:blipFill>
                  <a:blip r:embed="rId1">
                    <a:extLst>
                      <a:ext uri="{28A0092B-C50C-407E-A947-70E740481C1C}">
                        <a14:useLocalDpi xmlns:a14="http://schemas.microsoft.com/office/drawing/2010/main" val="0"/>
                      </a:ext>
                    </a:extLst>
                  </a:blip>
                  <a:srcRect l="5956" t="15077" r="60742" b="20103"/>
                  <a:stretch>
                    <a:fillRect/>
                  </a:stretch>
                </pic:blipFill>
                <pic:spPr bwMode="auto">
                  <a:xfrm>
                    <a:off x="0" y="0"/>
                    <a:ext cx="1367790" cy="6140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EC3" w:rsidRDefault="00E45264" w:rsidP="00361C4E">
    <w:pPr>
      <w:pStyle w:val="a3"/>
    </w:pPr>
    <w:r>
      <w:rPr>
        <w:noProof/>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591185</wp:posOffset>
              </wp:positionV>
              <wp:extent cx="6760210" cy="285115"/>
              <wp:effectExtent l="0" t="0" r="0"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21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EC3" w:rsidRPr="00CB105D" w:rsidRDefault="00BC4EC3" w:rsidP="00361C4E">
                          <w:pPr>
                            <w:spacing w:after="0" w:line="240" w:lineRule="auto"/>
                            <w:jc w:val="right"/>
                            <w:rPr>
                              <w:b/>
                              <w:color w:val="E36C0A" w:themeColor="accent6" w:themeShade="BF"/>
                              <w:sz w:val="40"/>
                              <w:szCs w:val="40"/>
                            </w:rPr>
                          </w:pPr>
                          <w:r w:rsidRPr="00CB105D">
                            <w:rPr>
                              <w:b/>
                              <w:color w:val="E36C0A" w:themeColor="accent6" w:themeShade="BF"/>
                            </w:rPr>
                            <w:tab/>
                          </w:r>
                          <w:r w:rsidRPr="00CB105D">
                            <w:rPr>
                              <w:b/>
                              <w:color w:val="E36C0A" w:themeColor="accent6" w:themeShade="BF"/>
                            </w:rPr>
                            <w:tab/>
                          </w:r>
                          <w:r w:rsidRPr="00CB105D">
                            <w:rPr>
                              <w:b/>
                              <w:color w:val="E36C0A" w:themeColor="accent6" w:themeShade="BF"/>
                            </w:rPr>
                            <w:tab/>
                          </w:r>
                          <w:r w:rsidRPr="005A5ACD">
                            <w:rPr>
                              <w:b/>
                              <w:color w:val="1F497D" w:themeColor="text2"/>
                            </w:rPr>
                            <w:t>Εβδομαδιαίο δελτίο για την Ελληνική οικονομία</w:t>
                          </w:r>
                        </w:p>
                        <w:p w:rsidR="00BC4EC3" w:rsidRPr="00CB105D" w:rsidRDefault="00BC4EC3" w:rsidP="00361C4E">
                          <w:pPr>
                            <w:jc w:val="right"/>
                            <w:rPr>
                              <w:b/>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0;margin-top:46.55pt;width:532.3pt;height:22.4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" filled="f" stroked="f" strokeweight=".5pt">
              <v:path arrowok="t"/>
              <v:textbox>
                <w:txbxContent>
                  <w:p w:rsidR="00BC4EC3" w:rsidRPr="00CB105D" w:rsidRDefault="00BC4EC3" w:rsidP="00361C4E">
                    <w:pPr>
                      <w:spacing w:after="0" w:line="240" w:lineRule="auto"/>
                      <w:jc w:val="right"/>
                      <w:rPr>
                        <w:b/>
                        <w:color w:val="E36C0A" w:themeColor="accent6" w:themeShade="BF"/>
                        <w:sz w:val="40"/>
                        <w:szCs w:val="40"/>
                      </w:rPr>
                    </w:pPr>
                    <w:r w:rsidRPr="00CB105D">
                      <w:rPr>
                        <w:b/>
                        <w:color w:val="E36C0A" w:themeColor="accent6" w:themeShade="BF"/>
                      </w:rPr>
                      <w:tab/>
                    </w:r>
                    <w:r w:rsidRPr="00CB105D">
                      <w:rPr>
                        <w:b/>
                        <w:color w:val="E36C0A" w:themeColor="accent6" w:themeShade="BF"/>
                      </w:rPr>
                      <w:tab/>
                    </w:r>
                    <w:r w:rsidRPr="00CB105D">
                      <w:rPr>
                        <w:b/>
                        <w:color w:val="E36C0A" w:themeColor="accent6" w:themeShade="BF"/>
                      </w:rPr>
                      <w:tab/>
                    </w:r>
                    <w:r w:rsidRPr="005A5ACD">
                      <w:rPr>
                        <w:b/>
                        <w:color w:val="1F497D" w:themeColor="text2"/>
                      </w:rPr>
                      <w:t>Εβδομαδιαίο δελτίο για την Ελληνική οικονομία</w:t>
                    </w:r>
                  </w:p>
                  <w:p w:rsidR="00BC4EC3" w:rsidRPr="00CB105D" w:rsidRDefault="00BC4EC3" w:rsidP="00361C4E">
                    <w:pPr>
                      <w:jc w:val="right"/>
                      <w:rPr>
                        <w:b/>
                        <w:color w:val="E36C0A" w:themeColor="accent6" w:themeShade="BF"/>
                      </w:rPr>
                    </w:pPr>
                  </w:p>
                </w:txbxContent>
              </v:textbox>
              <w10:wrap anchorx="margin"/>
            </v:shape>
          </w:pict>
        </mc:Fallback>
      </mc:AlternateContent>
    </w:r>
    <w:r>
      <w:rPr>
        <w:noProof/>
        <w:sz w:val="24"/>
        <w:szCs w:val="24"/>
      </w:rPr>
      <mc:AlternateContent>
        <mc:Choice Requires="wps">
          <w:drawing>
            <wp:anchor distT="0" distB="0" distL="114300" distR="114300" simplePos="0" relativeHeight="251658752" behindDoc="1" locked="0" layoutInCell="1" allowOverlap="1">
              <wp:simplePos x="0" y="0"/>
              <wp:positionH relativeFrom="column">
                <wp:posOffset>1446530</wp:posOffset>
              </wp:positionH>
              <wp:positionV relativeFrom="paragraph">
                <wp:posOffset>-5080</wp:posOffset>
              </wp:positionV>
              <wp:extent cx="5244465" cy="89725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5244465" cy="897255"/>
                      </a:xfrm>
                      <a:prstGeom prst="rect">
                        <a:avLst/>
                      </a:prstGeom>
                      <a:gradFill rotWithShape="1">
                        <a:gsLst>
                          <a:gs pos="67000">
                            <a:srgbClr val="CCCCE6"/>
                          </a:gs>
                          <a:gs pos="95000">
                            <a:srgbClr val="FFFFFF"/>
                          </a:gs>
                        </a:gsLst>
                        <a:lin ang="0" scaled="1"/>
                      </a:gradFill>
                      <a:ln>
                        <a:noFill/>
                      </a:ln>
                      <a:effectLst/>
                    </wps:spPr>
                    <wps:txbx>
                      <w:txbxContent>
                        <w:p w:rsidR="00BC4EC3" w:rsidRDefault="00BC4EC3" w:rsidP="00361C4E">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8" style="position:absolute;margin-left:113.9pt;margin-top:-.4pt;width:412.95pt;height:70.6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" fillcolor="#cccce6" stroked="f">
              <v:fill rotate="t" angle="90" colors="0 #cccce6;43909f #cccce6" focus="100%" type="gradient"/>
              <o:lock v:ext="edit" shapetype="t"/>
              <v:textbox inset="2.88pt,2.88pt,2.88pt,2.88pt">
                <w:txbxContent>
                  <w:p w:rsidR="00BC4EC3" w:rsidRDefault="00BC4EC3" w:rsidP="00361C4E">
                    <w:pPr>
                      <w:jc w:val="center"/>
                    </w:pPr>
                  </w:p>
                </w:txbxContent>
              </v:textbox>
            </v:rect>
          </w:pict>
        </mc:Fallback>
      </mc:AlternateContent>
    </w:r>
    <w:r>
      <w:rPr>
        <w:noProof/>
        <w:sz w:val="24"/>
        <w:szCs w:val="24"/>
      </w:rPr>
      <mc:AlternateContent>
        <mc:Choice Requires="wps">
          <w:drawing>
            <wp:anchor distT="0" distB="0" distL="114300" distR="114300" simplePos="0" relativeHeight="251660800" behindDoc="0" locked="0" layoutInCell="1" allowOverlap="1">
              <wp:simplePos x="0" y="0"/>
              <wp:positionH relativeFrom="column">
                <wp:posOffset>2243455</wp:posOffset>
              </wp:positionH>
              <wp:positionV relativeFrom="paragraph">
                <wp:posOffset>-5080</wp:posOffset>
              </wp:positionV>
              <wp:extent cx="4448175" cy="528320"/>
              <wp:effectExtent l="0" t="0" r="9525" b="50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52832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4EC3" w:rsidRPr="00CB105D" w:rsidRDefault="00BC4EC3" w:rsidP="00361C4E">
                          <w:pPr>
                            <w:spacing w:after="0" w:line="240" w:lineRule="auto"/>
                            <w:jc w:val="right"/>
                            <w:rPr>
                              <w:b/>
                              <w:color w:val="FFFFFF" w:themeColor="background1"/>
                              <w:sz w:val="44"/>
                              <w:szCs w:val="44"/>
                            </w:rPr>
                          </w:pPr>
                          <w:r w:rsidRPr="00CB105D">
                            <w:rPr>
                              <w:b/>
                              <w:color w:val="FFFFFF" w:themeColor="background1"/>
                              <w:sz w:val="44"/>
                              <w:szCs w:val="44"/>
                              <w:lang w:val="en-US"/>
                            </w:rPr>
                            <w:t>o</w:t>
                          </w:r>
                          <w:r w:rsidRPr="00CB105D">
                            <w:rPr>
                              <w:b/>
                              <w:color w:val="FFFFFF" w:themeColor="background1"/>
                              <w:sz w:val="44"/>
                              <w:szCs w:val="44"/>
                            </w:rPr>
                            <w:t>ικονομία&amp; επιχειρήσεις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29" type="#_x0000_t202" style="position:absolute;margin-left:176.65pt;margin-top:-.4pt;width:350.25pt;height:4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" fillcolor="#1f497d [3215]" stroked="f" strokeweight=".5pt">
              <v:path arrowok="t"/>
              <v:textbox>
                <w:txbxContent>
                  <w:p w:rsidR="00BC4EC3" w:rsidRPr="00CB105D" w:rsidRDefault="00BC4EC3" w:rsidP="00361C4E">
                    <w:pPr>
                      <w:spacing w:after="0" w:line="240" w:lineRule="auto"/>
                      <w:jc w:val="right"/>
                      <w:rPr>
                        <w:b/>
                        <w:color w:val="FFFFFF" w:themeColor="background1"/>
                        <w:sz w:val="44"/>
                        <w:szCs w:val="44"/>
                      </w:rPr>
                    </w:pPr>
                    <w:r w:rsidRPr="00CB105D">
                      <w:rPr>
                        <w:b/>
                        <w:color w:val="FFFFFF" w:themeColor="background1"/>
                        <w:sz w:val="44"/>
                        <w:szCs w:val="44"/>
                        <w:lang w:val="en-US"/>
                      </w:rPr>
                      <w:t>o</w:t>
                    </w:r>
                    <w:r w:rsidRPr="00CB105D">
                      <w:rPr>
                        <w:b/>
                        <w:color w:val="FFFFFF" w:themeColor="background1"/>
                        <w:sz w:val="44"/>
                        <w:szCs w:val="44"/>
                      </w:rPr>
                      <w:t>ικονομία&amp; επιχειρήσεις</w:t>
                    </w:r>
                  </w:p>
                </w:txbxContent>
              </v:textbox>
            </v:shape>
          </w:pict>
        </mc:Fallback>
      </mc:AlternateContent>
    </w:r>
    <w:r w:rsidR="00BC4EC3">
      <w:rPr>
        <w:noProof/>
      </w:rPr>
      <w:drawing>
        <wp:anchor distT="0" distB="0" distL="114300" distR="114300" simplePos="0" relativeHeight="251654144" behindDoc="1" locked="0" layoutInCell="1" allowOverlap="1">
          <wp:simplePos x="0" y="0"/>
          <wp:positionH relativeFrom="column">
            <wp:posOffset>-57150</wp:posOffset>
          </wp:positionH>
          <wp:positionV relativeFrom="paragraph">
            <wp:posOffset>-78740</wp:posOffset>
          </wp:positionV>
          <wp:extent cx="1506220" cy="676275"/>
          <wp:effectExtent l="0" t="0" r="0" b="9525"/>
          <wp:wrapTopAndBottom/>
          <wp:docPr id="46" name="Picture 46" descr="gr_epist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epist_top"/>
                  <pic:cNvPicPr>
                    <a:picLocks noChangeAspect="1" noChangeArrowheads="1"/>
                  </pic:cNvPicPr>
                </pic:nvPicPr>
                <pic:blipFill>
                  <a:blip r:embed="rId1">
                    <a:extLst>
                      <a:ext uri="{28A0092B-C50C-407E-A947-70E740481C1C}">
                        <a14:useLocalDpi xmlns:a14="http://schemas.microsoft.com/office/drawing/2010/main" val="0"/>
                      </a:ext>
                    </a:extLst>
                  </a:blip>
                  <a:srcRect l="5956" t="15077" r="60742" b="20103"/>
                  <a:stretch>
                    <a:fillRect/>
                  </a:stretch>
                </pic:blipFill>
                <pic:spPr bwMode="auto">
                  <a:xfrm>
                    <a:off x="0" y="0"/>
                    <a:ext cx="1506220" cy="676275"/>
                  </a:xfrm>
                  <a:prstGeom prst="rect">
                    <a:avLst/>
                  </a:prstGeom>
                  <a:noFill/>
                  <a:ln>
                    <a:noFill/>
                  </a:ln>
                </pic:spPr>
              </pic:pic>
            </a:graphicData>
          </a:graphic>
        </wp:anchor>
      </w:drawing>
    </w:r>
  </w:p>
  <w:p w:rsidR="00BC4EC3" w:rsidRPr="004A3F50" w:rsidRDefault="00BC4EC3" w:rsidP="002055E8">
    <w:pPr>
      <w:pStyle w:val="a3"/>
      <w:tabs>
        <w:tab w:val="clear" w:pos="4153"/>
        <w:tab w:val="clear" w:pos="8306"/>
        <w:tab w:val="left" w:pos="25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5325"/>
    <w:multiLevelType w:val="hybridMultilevel"/>
    <w:tmpl w:val="E732FE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291163"/>
    <w:multiLevelType w:val="multilevel"/>
    <w:tmpl w:val="D7F2DD94"/>
    <w:lvl w:ilvl="0">
      <w:start w:val="1"/>
      <w:numFmt w:val="decimal"/>
      <w:lvlText w:val="%1."/>
      <w:lvlJc w:val="left"/>
      <w:pPr>
        <w:tabs>
          <w:tab w:val="num" w:pos="360"/>
        </w:tabs>
        <w:ind w:left="360" w:hanging="360"/>
      </w:pPr>
      <w:rPr>
        <w:b/>
      </w:rPr>
    </w:lvl>
    <w:lvl w:ilvl="1">
      <w:numFmt w:val="bullet"/>
      <w:lvlText w:val="-"/>
      <w:lvlJc w:val="left"/>
      <w:pPr>
        <w:ind w:left="1440" w:hanging="360"/>
      </w:pPr>
      <w:rPr>
        <w:rFonts w:ascii="Calibri" w:eastAsiaTheme="minorHAnsi" w:hAnsi="Calibri"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9B1DBC"/>
    <w:multiLevelType w:val="hybridMultilevel"/>
    <w:tmpl w:val="D61441F2"/>
    <w:lvl w:ilvl="0" w:tplc="04080005">
      <w:start w:val="1"/>
      <w:numFmt w:val="bullet"/>
      <w:lvlText w:val=""/>
      <w:lvlJc w:val="left"/>
      <w:pPr>
        <w:ind w:left="1080" w:hanging="360"/>
      </w:pPr>
      <w:rPr>
        <w:rFonts w:ascii="Wingdings" w:hAnsi="Wingdings" w:hint="default"/>
        <w:color w:val="00000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369E0FC3"/>
    <w:multiLevelType w:val="hybridMultilevel"/>
    <w:tmpl w:val="A0044B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DA026A5"/>
    <w:multiLevelType w:val="hybridMultilevel"/>
    <w:tmpl w:val="8252064A"/>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BA2239A"/>
    <w:multiLevelType w:val="hybridMultilevel"/>
    <w:tmpl w:val="64C8C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C2035C"/>
    <w:multiLevelType w:val="hybridMultilevel"/>
    <w:tmpl w:val="4802084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68BC4DB4"/>
    <w:multiLevelType w:val="hybridMultilevel"/>
    <w:tmpl w:val="86D0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CE7D1D"/>
    <w:multiLevelType w:val="hybridMultilevel"/>
    <w:tmpl w:val="EF1469B2"/>
    <w:lvl w:ilvl="0" w:tplc="618EF5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0E4DFA"/>
    <w:multiLevelType w:val="multilevel"/>
    <w:tmpl w:val="E5628450"/>
    <w:lvl w:ilvl="0">
      <w:start w:val="1"/>
      <w:numFmt w:val="decimal"/>
      <w:lvlText w:val="%1."/>
      <w:lvlJc w:val="left"/>
      <w:pPr>
        <w:tabs>
          <w:tab w:val="num" w:pos="4472"/>
        </w:tabs>
        <w:ind w:left="4472" w:hanging="360"/>
      </w:pPr>
      <w:rPr>
        <w:b/>
      </w:rPr>
    </w:lvl>
    <w:lvl w:ilvl="1" w:tentative="1">
      <w:start w:val="1"/>
      <w:numFmt w:val="decimal"/>
      <w:lvlText w:val="%2."/>
      <w:lvlJc w:val="left"/>
      <w:pPr>
        <w:tabs>
          <w:tab w:val="num" w:pos="5552"/>
        </w:tabs>
        <w:ind w:left="5552" w:hanging="360"/>
      </w:pPr>
    </w:lvl>
    <w:lvl w:ilvl="2" w:tentative="1">
      <w:start w:val="1"/>
      <w:numFmt w:val="decimal"/>
      <w:lvlText w:val="%3."/>
      <w:lvlJc w:val="left"/>
      <w:pPr>
        <w:tabs>
          <w:tab w:val="num" w:pos="6272"/>
        </w:tabs>
        <w:ind w:left="6272" w:hanging="360"/>
      </w:pPr>
    </w:lvl>
    <w:lvl w:ilvl="3" w:tentative="1">
      <w:start w:val="1"/>
      <w:numFmt w:val="decimal"/>
      <w:lvlText w:val="%4."/>
      <w:lvlJc w:val="left"/>
      <w:pPr>
        <w:tabs>
          <w:tab w:val="num" w:pos="6992"/>
        </w:tabs>
        <w:ind w:left="6992" w:hanging="360"/>
      </w:pPr>
    </w:lvl>
    <w:lvl w:ilvl="4" w:tentative="1">
      <w:start w:val="1"/>
      <w:numFmt w:val="decimal"/>
      <w:lvlText w:val="%5."/>
      <w:lvlJc w:val="left"/>
      <w:pPr>
        <w:tabs>
          <w:tab w:val="num" w:pos="7712"/>
        </w:tabs>
        <w:ind w:left="7712" w:hanging="360"/>
      </w:pPr>
    </w:lvl>
    <w:lvl w:ilvl="5" w:tentative="1">
      <w:start w:val="1"/>
      <w:numFmt w:val="decimal"/>
      <w:lvlText w:val="%6."/>
      <w:lvlJc w:val="left"/>
      <w:pPr>
        <w:tabs>
          <w:tab w:val="num" w:pos="8432"/>
        </w:tabs>
        <w:ind w:left="8432" w:hanging="360"/>
      </w:pPr>
    </w:lvl>
    <w:lvl w:ilvl="6" w:tentative="1">
      <w:start w:val="1"/>
      <w:numFmt w:val="decimal"/>
      <w:lvlText w:val="%7."/>
      <w:lvlJc w:val="left"/>
      <w:pPr>
        <w:tabs>
          <w:tab w:val="num" w:pos="9152"/>
        </w:tabs>
        <w:ind w:left="9152" w:hanging="360"/>
      </w:pPr>
    </w:lvl>
    <w:lvl w:ilvl="7" w:tentative="1">
      <w:start w:val="1"/>
      <w:numFmt w:val="decimal"/>
      <w:lvlText w:val="%8."/>
      <w:lvlJc w:val="left"/>
      <w:pPr>
        <w:tabs>
          <w:tab w:val="num" w:pos="9872"/>
        </w:tabs>
        <w:ind w:left="9872" w:hanging="360"/>
      </w:pPr>
    </w:lvl>
    <w:lvl w:ilvl="8" w:tentative="1">
      <w:start w:val="1"/>
      <w:numFmt w:val="decimal"/>
      <w:lvlText w:val="%9."/>
      <w:lvlJc w:val="left"/>
      <w:pPr>
        <w:tabs>
          <w:tab w:val="num" w:pos="10592"/>
        </w:tabs>
        <w:ind w:left="10592" w:hanging="360"/>
      </w:pPr>
    </w:lvl>
  </w:abstractNum>
  <w:abstractNum w:abstractNumId="10">
    <w:nsid w:val="746764BA"/>
    <w:multiLevelType w:val="hybridMultilevel"/>
    <w:tmpl w:val="DF9C105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A125140"/>
    <w:multiLevelType w:val="multilevel"/>
    <w:tmpl w:val="3EB88EA4"/>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A711572"/>
    <w:multiLevelType w:val="hybridMultilevel"/>
    <w:tmpl w:val="B1825862"/>
    <w:lvl w:ilvl="0" w:tplc="04080005">
      <w:start w:val="1"/>
      <w:numFmt w:val="bullet"/>
      <w:lvlText w:val=""/>
      <w:lvlJc w:val="left"/>
      <w:pPr>
        <w:ind w:left="720" w:hanging="360"/>
      </w:pPr>
      <w:rPr>
        <w:rFonts w:ascii="Wingdings" w:hAnsi="Wingdings" w:hint="default"/>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10"/>
  </w:num>
  <w:num w:numId="5">
    <w:abstractNumId w:val="5"/>
  </w:num>
  <w:num w:numId="6">
    <w:abstractNumId w:val="11"/>
  </w:num>
  <w:num w:numId="7">
    <w:abstractNumId w:val="9"/>
  </w:num>
  <w:num w:numId="8">
    <w:abstractNumId w:val="4"/>
  </w:num>
  <w:num w:numId="9">
    <w:abstractNumId w:val="12"/>
  </w:num>
  <w:num w:numId="10">
    <w:abstractNumId w:val="7"/>
  </w:num>
  <w:num w:numId="11">
    <w:abstractNumId w:val="0"/>
  </w:num>
  <w:num w:numId="12">
    <w:abstractNumId w:val="3"/>
  </w:num>
  <w:num w:numId="1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hideSpellingErrors/>
  <w:hideGrammaticalErrors/>
  <w:activeWritingStyle w:appName="MSWord" w:lang="en-US" w:vendorID="64" w:dllVersion="131078" w:nlCheck="1" w:checkStyle="0"/>
  <w:activeWritingStyle w:appName="MSWord" w:lang="fr-BE" w:vendorID="64" w:dllVersion="131078" w:nlCheck="1" w:checkStyle="1"/>
  <w:activeWritingStyle w:appName="MSWord" w:lang="de-AT" w:vendorID="64" w:dllVersion="131078" w:nlCheck="1" w:checkStyle="1"/>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D99"/>
    <w:rsid w:val="00000253"/>
    <w:rsid w:val="000004C1"/>
    <w:rsid w:val="00000A18"/>
    <w:rsid w:val="000013E8"/>
    <w:rsid w:val="000016F8"/>
    <w:rsid w:val="00002BD3"/>
    <w:rsid w:val="00002F7A"/>
    <w:rsid w:val="00002FAF"/>
    <w:rsid w:val="000033D4"/>
    <w:rsid w:val="00004339"/>
    <w:rsid w:val="00005FC7"/>
    <w:rsid w:val="00006529"/>
    <w:rsid w:val="0000693C"/>
    <w:rsid w:val="00006AB7"/>
    <w:rsid w:val="00007ACD"/>
    <w:rsid w:val="00010587"/>
    <w:rsid w:val="0001076D"/>
    <w:rsid w:val="0001166A"/>
    <w:rsid w:val="00011ACD"/>
    <w:rsid w:val="00011D7E"/>
    <w:rsid w:val="00012AD0"/>
    <w:rsid w:val="000133AE"/>
    <w:rsid w:val="000136EF"/>
    <w:rsid w:val="0001381F"/>
    <w:rsid w:val="00013A18"/>
    <w:rsid w:val="00013A83"/>
    <w:rsid w:val="0001419B"/>
    <w:rsid w:val="0001483B"/>
    <w:rsid w:val="000149A5"/>
    <w:rsid w:val="00014E22"/>
    <w:rsid w:val="00015615"/>
    <w:rsid w:val="00017169"/>
    <w:rsid w:val="000175C2"/>
    <w:rsid w:val="00017D5D"/>
    <w:rsid w:val="000200D6"/>
    <w:rsid w:val="000202D6"/>
    <w:rsid w:val="00020792"/>
    <w:rsid w:val="00021525"/>
    <w:rsid w:val="00021A5B"/>
    <w:rsid w:val="00021ADF"/>
    <w:rsid w:val="00021B42"/>
    <w:rsid w:val="0002200F"/>
    <w:rsid w:val="0002225C"/>
    <w:rsid w:val="000224B4"/>
    <w:rsid w:val="00022633"/>
    <w:rsid w:val="00024480"/>
    <w:rsid w:val="00024EE4"/>
    <w:rsid w:val="00025EC0"/>
    <w:rsid w:val="0002645E"/>
    <w:rsid w:val="00026E2A"/>
    <w:rsid w:val="00027207"/>
    <w:rsid w:val="00027886"/>
    <w:rsid w:val="00027ECB"/>
    <w:rsid w:val="00032063"/>
    <w:rsid w:val="00032D07"/>
    <w:rsid w:val="00032F04"/>
    <w:rsid w:val="000335C8"/>
    <w:rsid w:val="00033A22"/>
    <w:rsid w:val="00033F62"/>
    <w:rsid w:val="000342B9"/>
    <w:rsid w:val="00034380"/>
    <w:rsid w:val="00034DBD"/>
    <w:rsid w:val="00034F1D"/>
    <w:rsid w:val="00035304"/>
    <w:rsid w:val="00035409"/>
    <w:rsid w:val="000357EC"/>
    <w:rsid w:val="00035DF9"/>
    <w:rsid w:val="000366B7"/>
    <w:rsid w:val="00036CAC"/>
    <w:rsid w:val="00036D29"/>
    <w:rsid w:val="00037508"/>
    <w:rsid w:val="00037A03"/>
    <w:rsid w:val="00037B15"/>
    <w:rsid w:val="00040867"/>
    <w:rsid w:val="00041A85"/>
    <w:rsid w:val="000420BC"/>
    <w:rsid w:val="00042345"/>
    <w:rsid w:val="00042A55"/>
    <w:rsid w:val="0004341C"/>
    <w:rsid w:val="00043804"/>
    <w:rsid w:val="0004382D"/>
    <w:rsid w:val="00043B20"/>
    <w:rsid w:val="00044A65"/>
    <w:rsid w:val="000452B6"/>
    <w:rsid w:val="0004534F"/>
    <w:rsid w:val="00046E70"/>
    <w:rsid w:val="00046ED7"/>
    <w:rsid w:val="00047289"/>
    <w:rsid w:val="0004748D"/>
    <w:rsid w:val="000477DE"/>
    <w:rsid w:val="00047C66"/>
    <w:rsid w:val="00047E4E"/>
    <w:rsid w:val="0005009E"/>
    <w:rsid w:val="0005028F"/>
    <w:rsid w:val="0005095E"/>
    <w:rsid w:val="000513C5"/>
    <w:rsid w:val="000525CE"/>
    <w:rsid w:val="00052B80"/>
    <w:rsid w:val="00052FE0"/>
    <w:rsid w:val="00053361"/>
    <w:rsid w:val="00053F95"/>
    <w:rsid w:val="0005444A"/>
    <w:rsid w:val="00055001"/>
    <w:rsid w:val="0005575D"/>
    <w:rsid w:val="00055885"/>
    <w:rsid w:val="00057A91"/>
    <w:rsid w:val="00060B8A"/>
    <w:rsid w:val="00060C1E"/>
    <w:rsid w:val="00061AE7"/>
    <w:rsid w:val="00061D04"/>
    <w:rsid w:val="00062566"/>
    <w:rsid w:val="00062918"/>
    <w:rsid w:val="000637D1"/>
    <w:rsid w:val="00064044"/>
    <w:rsid w:val="0006438E"/>
    <w:rsid w:val="000647D2"/>
    <w:rsid w:val="00064DF6"/>
    <w:rsid w:val="000652FD"/>
    <w:rsid w:val="00065934"/>
    <w:rsid w:val="00065AEC"/>
    <w:rsid w:val="00065CBF"/>
    <w:rsid w:val="000672C8"/>
    <w:rsid w:val="00067D85"/>
    <w:rsid w:val="000702D3"/>
    <w:rsid w:val="00070AE2"/>
    <w:rsid w:val="000717A8"/>
    <w:rsid w:val="00072340"/>
    <w:rsid w:val="000724FB"/>
    <w:rsid w:val="00072724"/>
    <w:rsid w:val="00072FA5"/>
    <w:rsid w:val="0007306E"/>
    <w:rsid w:val="00073A28"/>
    <w:rsid w:val="00073B53"/>
    <w:rsid w:val="00073DBA"/>
    <w:rsid w:val="00074077"/>
    <w:rsid w:val="00074913"/>
    <w:rsid w:val="00075347"/>
    <w:rsid w:val="0007562F"/>
    <w:rsid w:val="00075C33"/>
    <w:rsid w:val="00076BEC"/>
    <w:rsid w:val="00076F32"/>
    <w:rsid w:val="00077724"/>
    <w:rsid w:val="00077941"/>
    <w:rsid w:val="00077D2B"/>
    <w:rsid w:val="00077ED1"/>
    <w:rsid w:val="000800D3"/>
    <w:rsid w:val="0008096B"/>
    <w:rsid w:val="0008128E"/>
    <w:rsid w:val="00081785"/>
    <w:rsid w:val="000824FF"/>
    <w:rsid w:val="00082567"/>
    <w:rsid w:val="000825EE"/>
    <w:rsid w:val="00082C6D"/>
    <w:rsid w:val="00083A4B"/>
    <w:rsid w:val="00083AA8"/>
    <w:rsid w:val="00083FEC"/>
    <w:rsid w:val="0008470E"/>
    <w:rsid w:val="00084FCF"/>
    <w:rsid w:val="00084FEF"/>
    <w:rsid w:val="000853FD"/>
    <w:rsid w:val="00085C0C"/>
    <w:rsid w:val="00085D8E"/>
    <w:rsid w:val="0008653D"/>
    <w:rsid w:val="000868F7"/>
    <w:rsid w:val="00086A48"/>
    <w:rsid w:val="00086BC4"/>
    <w:rsid w:val="00087417"/>
    <w:rsid w:val="0008770B"/>
    <w:rsid w:val="00087BD2"/>
    <w:rsid w:val="00090B57"/>
    <w:rsid w:val="00091771"/>
    <w:rsid w:val="00091C1C"/>
    <w:rsid w:val="00091F98"/>
    <w:rsid w:val="0009265E"/>
    <w:rsid w:val="00092E15"/>
    <w:rsid w:val="0009370D"/>
    <w:rsid w:val="00093BE6"/>
    <w:rsid w:val="0009413D"/>
    <w:rsid w:val="0009500A"/>
    <w:rsid w:val="00095823"/>
    <w:rsid w:val="00095BDC"/>
    <w:rsid w:val="000962F6"/>
    <w:rsid w:val="00096587"/>
    <w:rsid w:val="00097162"/>
    <w:rsid w:val="000976E6"/>
    <w:rsid w:val="0009779F"/>
    <w:rsid w:val="000A023A"/>
    <w:rsid w:val="000A0686"/>
    <w:rsid w:val="000A06E2"/>
    <w:rsid w:val="000A108E"/>
    <w:rsid w:val="000A110E"/>
    <w:rsid w:val="000A1480"/>
    <w:rsid w:val="000A1839"/>
    <w:rsid w:val="000A31B8"/>
    <w:rsid w:val="000A3EB9"/>
    <w:rsid w:val="000A3FD2"/>
    <w:rsid w:val="000A4B6D"/>
    <w:rsid w:val="000A4EDC"/>
    <w:rsid w:val="000A4F44"/>
    <w:rsid w:val="000A5048"/>
    <w:rsid w:val="000A56CE"/>
    <w:rsid w:val="000A59CC"/>
    <w:rsid w:val="000A6528"/>
    <w:rsid w:val="000A6BCD"/>
    <w:rsid w:val="000A6E37"/>
    <w:rsid w:val="000A7167"/>
    <w:rsid w:val="000A71F8"/>
    <w:rsid w:val="000A7EF5"/>
    <w:rsid w:val="000B086B"/>
    <w:rsid w:val="000B16C6"/>
    <w:rsid w:val="000B1FCF"/>
    <w:rsid w:val="000B2013"/>
    <w:rsid w:val="000B291F"/>
    <w:rsid w:val="000B2C97"/>
    <w:rsid w:val="000B3D57"/>
    <w:rsid w:val="000B3EA4"/>
    <w:rsid w:val="000B50FA"/>
    <w:rsid w:val="000B5444"/>
    <w:rsid w:val="000B5611"/>
    <w:rsid w:val="000B63FB"/>
    <w:rsid w:val="000B6D90"/>
    <w:rsid w:val="000B7582"/>
    <w:rsid w:val="000B77DE"/>
    <w:rsid w:val="000C0019"/>
    <w:rsid w:val="000C05CA"/>
    <w:rsid w:val="000C1292"/>
    <w:rsid w:val="000C181A"/>
    <w:rsid w:val="000C1B1A"/>
    <w:rsid w:val="000C3675"/>
    <w:rsid w:val="000C3B86"/>
    <w:rsid w:val="000C59F6"/>
    <w:rsid w:val="000C6180"/>
    <w:rsid w:val="000C70F5"/>
    <w:rsid w:val="000C757A"/>
    <w:rsid w:val="000D02DF"/>
    <w:rsid w:val="000D1B73"/>
    <w:rsid w:val="000D1B9E"/>
    <w:rsid w:val="000D209D"/>
    <w:rsid w:val="000D2236"/>
    <w:rsid w:val="000D2256"/>
    <w:rsid w:val="000D3216"/>
    <w:rsid w:val="000D325A"/>
    <w:rsid w:val="000D33DE"/>
    <w:rsid w:val="000D3754"/>
    <w:rsid w:val="000D3854"/>
    <w:rsid w:val="000D3AC4"/>
    <w:rsid w:val="000D3BE6"/>
    <w:rsid w:val="000D4622"/>
    <w:rsid w:val="000D475C"/>
    <w:rsid w:val="000D4C85"/>
    <w:rsid w:val="000D4D4C"/>
    <w:rsid w:val="000D5A0E"/>
    <w:rsid w:val="000D6046"/>
    <w:rsid w:val="000D6056"/>
    <w:rsid w:val="000D7760"/>
    <w:rsid w:val="000D7DB4"/>
    <w:rsid w:val="000E0899"/>
    <w:rsid w:val="000E089A"/>
    <w:rsid w:val="000E091A"/>
    <w:rsid w:val="000E099E"/>
    <w:rsid w:val="000E107B"/>
    <w:rsid w:val="000E10A0"/>
    <w:rsid w:val="000E1380"/>
    <w:rsid w:val="000E18BF"/>
    <w:rsid w:val="000E24AB"/>
    <w:rsid w:val="000E250C"/>
    <w:rsid w:val="000E2E34"/>
    <w:rsid w:val="000E3D1D"/>
    <w:rsid w:val="000E3E20"/>
    <w:rsid w:val="000E4217"/>
    <w:rsid w:val="000E553A"/>
    <w:rsid w:val="000E66B0"/>
    <w:rsid w:val="000E6BF8"/>
    <w:rsid w:val="000E7F01"/>
    <w:rsid w:val="000F0A02"/>
    <w:rsid w:val="000F148C"/>
    <w:rsid w:val="000F178F"/>
    <w:rsid w:val="000F1CD5"/>
    <w:rsid w:val="000F23C9"/>
    <w:rsid w:val="000F23E0"/>
    <w:rsid w:val="000F293F"/>
    <w:rsid w:val="000F3956"/>
    <w:rsid w:val="000F39C4"/>
    <w:rsid w:val="000F3F8F"/>
    <w:rsid w:val="000F49F6"/>
    <w:rsid w:val="000F4DC7"/>
    <w:rsid w:val="000F5937"/>
    <w:rsid w:val="000F5BF2"/>
    <w:rsid w:val="000F6CBD"/>
    <w:rsid w:val="00100654"/>
    <w:rsid w:val="00101200"/>
    <w:rsid w:val="0010199D"/>
    <w:rsid w:val="00102106"/>
    <w:rsid w:val="0010257E"/>
    <w:rsid w:val="001031A3"/>
    <w:rsid w:val="0010341D"/>
    <w:rsid w:val="00103C32"/>
    <w:rsid w:val="00103DC9"/>
    <w:rsid w:val="001060AD"/>
    <w:rsid w:val="001066DA"/>
    <w:rsid w:val="00106F8A"/>
    <w:rsid w:val="00107234"/>
    <w:rsid w:val="0010733A"/>
    <w:rsid w:val="00107358"/>
    <w:rsid w:val="0010754C"/>
    <w:rsid w:val="00107972"/>
    <w:rsid w:val="001108A6"/>
    <w:rsid w:val="0011140F"/>
    <w:rsid w:val="00111F71"/>
    <w:rsid w:val="001123B5"/>
    <w:rsid w:val="00112A6F"/>
    <w:rsid w:val="00112A85"/>
    <w:rsid w:val="00113319"/>
    <w:rsid w:val="00113DF9"/>
    <w:rsid w:val="00114594"/>
    <w:rsid w:val="00114D3A"/>
    <w:rsid w:val="00114E32"/>
    <w:rsid w:val="00115E8E"/>
    <w:rsid w:val="001169CE"/>
    <w:rsid w:val="00116A7E"/>
    <w:rsid w:val="00117B54"/>
    <w:rsid w:val="00117C5F"/>
    <w:rsid w:val="001206CF"/>
    <w:rsid w:val="00120C7F"/>
    <w:rsid w:val="00121247"/>
    <w:rsid w:val="0012217D"/>
    <w:rsid w:val="00122FC6"/>
    <w:rsid w:val="00123B88"/>
    <w:rsid w:val="00123E4F"/>
    <w:rsid w:val="00124906"/>
    <w:rsid w:val="00125888"/>
    <w:rsid w:val="00125B0A"/>
    <w:rsid w:val="001263E7"/>
    <w:rsid w:val="00126F56"/>
    <w:rsid w:val="00127826"/>
    <w:rsid w:val="00131AC7"/>
    <w:rsid w:val="00133021"/>
    <w:rsid w:val="001336C0"/>
    <w:rsid w:val="00133F08"/>
    <w:rsid w:val="00133F92"/>
    <w:rsid w:val="001355D0"/>
    <w:rsid w:val="00135D74"/>
    <w:rsid w:val="00136819"/>
    <w:rsid w:val="00136A33"/>
    <w:rsid w:val="00137079"/>
    <w:rsid w:val="0013720F"/>
    <w:rsid w:val="001372AF"/>
    <w:rsid w:val="00141288"/>
    <w:rsid w:val="0014205F"/>
    <w:rsid w:val="00142205"/>
    <w:rsid w:val="001442EC"/>
    <w:rsid w:val="00144A70"/>
    <w:rsid w:val="00144B4A"/>
    <w:rsid w:val="0014515C"/>
    <w:rsid w:val="00145B6E"/>
    <w:rsid w:val="00145C96"/>
    <w:rsid w:val="00145D1F"/>
    <w:rsid w:val="0014645D"/>
    <w:rsid w:val="00147163"/>
    <w:rsid w:val="00147276"/>
    <w:rsid w:val="001479E8"/>
    <w:rsid w:val="00147E44"/>
    <w:rsid w:val="001500D6"/>
    <w:rsid w:val="001503BF"/>
    <w:rsid w:val="0015049C"/>
    <w:rsid w:val="00150AFF"/>
    <w:rsid w:val="00150CDE"/>
    <w:rsid w:val="00151C98"/>
    <w:rsid w:val="00152A97"/>
    <w:rsid w:val="0015397E"/>
    <w:rsid w:val="00153D7E"/>
    <w:rsid w:val="001546DA"/>
    <w:rsid w:val="001547DD"/>
    <w:rsid w:val="00155C8B"/>
    <w:rsid w:val="00155F9D"/>
    <w:rsid w:val="001575F2"/>
    <w:rsid w:val="00160766"/>
    <w:rsid w:val="00160DA0"/>
    <w:rsid w:val="00161140"/>
    <w:rsid w:val="001612BD"/>
    <w:rsid w:val="001612F6"/>
    <w:rsid w:val="00162947"/>
    <w:rsid w:val="00163526"/>
    <w:rsid w:val="00163849"/>
    <w:rsid w:val="001638B1"/>
    <w:rsid w:val="00163A6C"/>
    <w:rsid w:val="00163A90"/>
    <w:rsid w:val="00164053"/>
    <w:rsid w:val="00165016"/>
    <w:rsid w:val="00165C87"/>
    <w:rsid w:val="00165DCF"/>
    <w:rsid w:val="00166D7B"/>
    <w:rsid w:val="00166E11"/>
    <w:rsid w:val="001675D8"/>
    <w:rsid w:val="001679E5"/>
    <w:rsid w:val="00167A4B"/>
    <w:rsid w:val="001710CD"/>
    <w:rsid w:val="00171490"/>
    <w:rsid w:val="00171809"/>
    <w:rsid w:val="00171929"/>
    <w:rsid w:val="00173025"/>
    <w:rsid w:val="00173C72"/>
    <w:rsid w:val="00173FDE"/>
    <w:rsid w:val="001747EC"/>
    <w:rsid w:val="001749E1"/>
    <w:rsid w:val="00174E42"/>
    <w:rsid w:val="00175413"/>
    <w:rsid w:val="0017586A"/>
    <w:rsid w:val="00175FBD"/>
    <w:rsid w:val="001774B3"/>
    <w:rsid w:val="00180229"/>
    <w:rsid w:val="00180BEF"/>
    <w:rsid w:val="0018145F"/>
    <w:rsid w:val="00181D07"/>
    <w:rsid w:val="00181DC4"/>
    <w:rsid w:val="00181DD9"/>
    <w:rsid w:val="00181DEA"/>
    <w:rsid w:val="00181F2E"/>
    <w:rsid w:val="0018206C"/>
    <w:rsid w:val="00182830"/>
    <w:rsid w:val="001829BE"/>
    <w:rsid w:val="0018384A"/>
    <w:rsid w:val="00183C14"/>
    <w:rsid w:val="00183DA1"/>
    <w:rsid w:val="00184860"/>
    <w:rsid w:val="00184F59"/>
    <w:rsid w:val="00185D1E"/>
    <w:rsid w:val="0018662E"/>
    <w:rsid w:val="00187146"/>
    <w:rsid w:val="001874DD"/>
    <w:rsid w:val="0018785C"/>
    <w:rsid w:val="00187B42"/>
    <w:rsid w:val="00187D2F"/>
    <w:rsid w:val="00190252"/>
    <w:rsid w:val="00190293"/>
    <w:rsid w:val="00191010"/>
    <w:rsid w:val="001923AB"/>
    <w:rsid w:val="00192A75"/>
    <w:rsid w:val="001931EC"/>
    <w:rsid w:val="00193E93"/>
    <w:rsid w:val="00194242"/>
    <w:rsid w:val="00195218"/>
    <w:rsid w:val="001955A1"/>
    <w:rsid w:val="001955D8"/>
    <w:rsid w:val="00196DF6"/>
    <w:rsid w:val="00196FA6"/>
    <w:rsid w:val="00196FDA"/>
    <w:rsid w:val="0019709E"/>
    <w:rsid w:val="00197363"/>
    <w:rsid w:val="001976D2"/>
    <w:rsid w:val="001A07CE"/>
    <w:rsid w:val="001A131C"/>
    <w:rsid w:val="001A1369"/>
    <w:rsid w:val="001A261D"/>
    <w:rsid w:val="001A2751"/>
    <w:rsid w:val="001A2777"/>
    <w:rsid w:val="001A2E44"/>
    <w:rsid w:val="001A3992"/>
    <w:rsid w:val="001A48B2"/>
    <w:rsid w:val="001A4AB5"/>
    <w:rsid w:val="001A516A"/>
    <w:rsid w:val="001A5488"/>
    <w:rsid w:val="001A632A"/>
    <w:rsid w:val="001A65B6"/>
    <w:rsid w:val="001A6797"/>
    <w:rsid w:val="001A6CFF"/>
    <w:rsid w:val="001A7603"/>
    <w:rsid w:val="001A7E86"/>
    <w:rsid w:val="001B061C"/>
    <w:rsid w:val="001B0E50"/>
    <w:rsid w:val="001B1531"/>
    <w:rsid w:val="001B17EF"/>
    <w:rsid w:val="001B197D"/>
    <w:rsid w:val="001B1BAB"/>
    <w:rsid w:val="001B1CF3"/>
    <w:rsid w:val="001B20FC"/>
    <w:rsid w:val="001B28FD"/>
    <w:rsid w:val="001B545B"/>
    <w:rsid w:val="001B575A"/>
    <w:rsid w:val="001B58C2"/>
    <w:rsid w:val="001B59C8"/>
    <w:rsid w:val="001B5B18"/>
    <w:rsid w:val="001B6234"/>
    <w:rsid w:val="001B71AF"/>
    <w:rsid w:val="001B74A8"/>
    <w:rsid w:val="001B7597"/>
    <w:rsid w:val="001C1532"/>
    <w:rsid w:val="001C1B2A"/>
    <w:rsid w:val="001C1FAB"/>
    <w:rsid w:val="001C2734"/>
    <w:rsid w:val="001C276B"/>
    <w:rsid w:val="001C2BE0"/>
    <w:rsid w:val="001C2FD7"/>
    <w:rsid w:val="001C3129"/>
    <w:rsid w:val="001C3E0D"/>
    <w:rsid w:val="001C413B"/>
    <w:rsid w:val="001C4751"/>
    <w:rsid w:val="001C48D2"/>
    <w:rsid w:val="001C6589"/>
    <w:rsid w:val="001C6F66"/>
    <w:rsid w:val="001C733D"/>
    <w:rsid w:val="001C7821"/>
    <w:rsid w:val="001D01E5"/>
    <w:rsid w:val="001D0602"/>
    <w:rsid w:val="001D0E68"/>
    <w:rsid w:val="001D0F87"/>
    <w:rsid w:val="001D1CE4"/>
    <w:rsid w:val="001D30FA"/>
    <w:rsid w:val="001D4EE1"/>
    <w:rsid w:val="001D5251"/>
    <w:rsid w:val="001D52A1"/>
    <w:rsid w:val="001D5C08"/>
    <w:rsid w:val="001D5F2A"/>
    <w:rsid w:val="001D76A5"/>
    <w:rsid w:val="001D7CD0"/>
    <w:rsid w:val="001E09C8"/>
    <w:rsid w:val="001E119E"/>
    <w:rsid w:val="001E1332"/>
    <w:rsid w:val="001E1ACF"/>
    <w:rsid w:val="001E256D"/>
    <w:rsid w:val="001E2D74"/>
    <w:rsid w:val="001E3DD4"/>
    <w:rsid w:val="001E40FD"/>
    <w:rsid w:val="001E49F6"/>
    <w:rsid w:val="001E4BEF"/>
    <w:rsid w:val="001E6B41"/>
    <w:rsid w:val="001E6EC2"/>
    <w:rsid w:val="001E6F45"/>
    <w:rsid w:val="001E6FA1"/>
    <w:rsid w:val="001E7303"/>
    <w:rsid w:val="001E7369"/>
    <w:rsid w:val="001E7457"/>
    <w:rsid w:val="001F0B41"/>
    <w:rsid w:val="001F0FA1"/>
    <w:rsid w:val="001F1149"/>
    <w:rsid w:val="001F167F"/>
    <w:rsid w:val="001F331C"/>
    <w:rsid w:val="001F3C19"/>
    <w:rsid w:val="001F4691"/>
    <w:rsid w:val="001F47FC"/>
    <w:rsid w:val="001F4E87"/>
    <w:rsid w:val="001F4F48"/>
    <w:rsid w:val="001F5311"/>
    <w:rsid w:val="001F57AB"/>
    <w:rsid w:val="001F602F"/>
    <w:rsid w:val="001F679A"/>
    <w:rsid w:val="001F6E4A"/>
    <w:rsid w:val="001F72E6"/>
    <w:rsid w:val="001F746C"/>
    <w:rsid w:val="001F7941"/>
    <w:rsid w:val="001F795D"/>
    <w:rsid w:val="00200046"/>
    <w:rsid w:val="00200C33"/>
    <w:rsid w:val="00200FA8"/>
    <w:rsid w:val="002016FA"/>
    <w:rsid w:val="00201CDC"/>
    <w:rsid w:val="002025C0"/>
    <w:rsid w:val="00203296"/>
    <w:rsid w:val="002033B3"/>
    <w:rsid w:val="00203FD7"/>
    <w:rsid w:val="0020403F"/>
    <w:rsid w:val="00204201"/>
    <w:rsid w:val="00204312"/>
    <w:rsid w:val="002055E8"/>
    <w:rsid w:val="00206055"/>
    <w:rsid w:val="002063F6"/>
    <w:rsid w:val="00206ECA"/>
    <w:rsid w:val="00206F71"/>
    <w:rsid w:val="00210F37"/>
    <w:rsid w:val="002117D5"/>
    <w:rsid w:val="00211B2D"/>
    <w:rsid w:val="00211E59"/>
    <w:rsid w:val="0021231A"/>
    <w:rsid w:val="0021292E"/>
    <w:rsid w:val="002129BB"/>
    <w:rsid w:val="0021320A"/>
    <w:rsid w:val="00213345"/>
    <w:rsid w:val="00213D82"/>
    <w:rsid w:val="00213EED"/>
    <w:rsid w:val="00214899"/>
    <w:rsid w:val="00216107"/>
    <w:rsid w:val="00216F2C"/>
    <w:rsid w:val="0021729B"/>
    <w:rsid w:val="002177E9"/>
    <w:rsid w:val="00217EC7"/>
    <w:rsid w:val="002203B0"/>
    <w:rsid w:val="002207B6"/>
    <w:rsid w:val="00221069"/>
    <w:rsid w:val="00221342"/>
    <w:rsid w:val="00222FB3"/>
    <w:rsid w:val="0022374D"/>
    <w:rsid w:val="00223960"/>
    <w:rsid w:val="00224ECF"/>
    <w:rsid w:val="00225C3F"/>
    <w:rsid w:val="002269AB"/>
    <w:rsid w:val="00226AE5"/>
    <w:rsid w:val="00227346"/>
    <w:rsid w:val="002274C4"/>
    <w:rsid w:val="00227840"/>
    <w:rsid w:val="0023026B"/>
    <w:rsid w:val="002317D2"/>
    <w:rsid w:val="00231D3D"/>
    <w:rsid w:val="00231E6C"/>
    <w:rsid w:val="00231EEE"/>
    <w:rsid w:val="002324DD"/>
    <w:rsid w:val="00232C3F"/>
    <w:rsid w:val="00233271"/>
    <w:rsid w:val="00233288"/>
    <w:rsid w:val="00234669"/>
    <w:rsid w:val="00234979"/>
    <w:rsid w:val="00234DBF"/>
    <w:rsid w:val="00235E89"/>
    <w:rsid w:val="00236245"/>
    <w:rsid w:val="002366EB"/>
    <w:rsid w:val="00236EAB"/>
    <w:rsid w:val="00236FE8"/>
    <w:rsid w:val="00237962"/>
    <w:rsid w:val="00240CC0"/>
    <w:rsid w:val="00240D91"/>
    <w:rsid w:val="00241063"/>
    <w:rsid w:val="00241269"/>
    <w:rsid w:val="002416B5"/>
    <w:rsid w:val="00241E76"/>
    <w:rsid w:val="00241EA0"/>
    <w:rsid w:val="00242729"/>
    <w:rsid w:val="00242A5C"/>
    <w:rsid w:val="00243EBE"/>
    <w:rsid w:val="00243EED"/>
    <w:rsid w:val="0024451C"/>
    <w:rsid w:val="00244716"/>
    <w:rsid w:val="00245054"/>
    <w:rsid w:val="00245E3F"/>
    <w:rsid w:val="00245F65"/>
    <w:rsid w:val="00246C06"/>
    <w:rsid w:val="002471CF"/>
    <w:rsid w:val="00250799"/>
    <w:rsid w:val="0025171B"/>
    <w:rsid w:val="0025251A"/>
    <w:rsid w:val="00252CA6"/>
    <w:rsid w:val="002531B1"/>
    <w:rsid w:val="002533E0"/>
    <w:rsid w:val="0025366B"/>
    <w:rsid w:val="00253802"/>
    <w:rsid w:val="0025434C"/>
    <w:rsid w:val="00254C1E"/>
    <w:rsid w:val="002556B1"/>
    <w:rsid w:val="00255A89"/>
    <w:rsid w:val="0025666D"/>
    <w:rsid w:val="00257713"/>
    <w:rsid w:val="00260382"/>
    <w:rsid w:val="00260D63"/>
    <w:rsid w:val="0026121B"/>
    <w:rsid w:val="00261A19"/>
    <w:rsid w:val="00261ECC"/>
    <w:rsid w:val="00261F1F"/>
    <w:rsid w:val="00262D37"/>
    <w:rsid w:val="00262D7E"/>
    <w:rsid w:val="002652A5"/>
    <w:rsid w:val="0026556C"/>
    <w:rsid w:val="0026572C"/>
    <w:rsid w:val="00265730"/>
    <w:rsid w:val="00266738"/>
    <w:rsid w:val="00266B5C"/>
    <w:rsid w:val="00266F4A"/>
    <w:rsid w:val="00267E5A"/>
    <w:rsid w:val="00270F0E"/>
    <w:rsid w:val="00270FCF"/>
    <w:rsid w:val="002711D4"/>
    <w:rsid w:val="0027121B"/>
    <w:rsid w:val="00272AD9"/>
    <w:rsid w:val="002733A3"/>
    <w:rsid w:val="00273964"/>
    <w:rsid w:val="00273F3F"/>
    <w:rsid w:val="002741DC"/>
    <w:rsid w:val="00274D1F"/>
    <w:rsid w:val="00274E8B"/>
    <w:rsid w:val="00275767"/>
    <w:rsid w:val="00275F42"/>
    <w:rsid w:val="00276054"/>
    <w:rsid w:val="00276E8D"/>
    <w:rsid w:val="00277D10"/>
    <w:rsid w:val="002806A6"/>
    <w:rsid w:val="00280CF4"/>
    <w:rsid w:val="00281257"/>
    <w:rsid w:val="002820ED"/>
    <w:rsid w:val="00282937"/>
    <w:rsid w:val="00282EE8"/>
    <w:rsid w:val="002852D7"/>
    <w:rsid w:val="002854D1"/>
    <w:rsid w:val="00285859"/>
    <w:rsid w:val="002860B4"/>
    <w:rsid w:val="002860BE"/>
    <w:rsid w:val="0028614B"/>
    <w:rsid w:val="00286226"/>
    <w:rsid w:val="002862D1"/>
    <w:rsid w:val="002869C1"/>
    <w:rsid w:val="00286FAD"/>
    <w:rsid w:val="002871F2"/>
    <w:rsid w:val="0029059A"/>
    <w:rsid w:val="00290928"/>
    <w:rsid w:val="00290BD1"/>
    <w:rsid w:val="00290E5F"/>
    <w:rsid w:val="00291D95"/>
    <w:rsid w:val="00291F4C"/>
    <w:rsid w:val="00291F51"/>
    <w:rsid w:val="002920C6"/>
    <w:rsid w:val="002930E5"/>
    <w:rsid w:val="002937E0"/>
    <w:rsid w:val="00293EB8"/>
    <w:rsid w:val="00294C55"/>
    <w:rsid w:val="00294D82"/>
    <w:rsid w:val="00294E8E"/>
    <w:rsid w:val="002954E4"/>
    <w:rsid w:val="00296C92"/>
    <w:rsid w:val="0029711D"/>
    <w:rsid w:val="00297234"/>
    <w:rsid w:val="002974DE"/>
    <w:rsid w:val="002A0FE9"/>
    <w:rsid w:val="002A1308"/>
    <w:rsid w:val="002A2729"/>
    <w:rsid w:val="002A3198"/>
    <w:rsid w:val="002A3956"/>
    <w:rsid w:val="002A3AEB"/>
    <w:rsid w:val="002A3D37"/>
    <w:rsid w:val="002A4689"/>
    <w:rsid w:val="002A47F1"/>
    <w:rsid w:val="002A60E5"/>
    <w:rsid w:val="002A71FD"/>
    <w:rsid w:val="002B1D7A"/>
    <w:rsid w:val="002B217E"/>
    <w:rsid w:val="002B21C0"/>
    <w:rsid w:val="002B34DE"/>
    <w:rsid w:val="002B3846"/>
    <w:rsid w:val="002B40C4"/>
    <w:rsid w:val="002B4C60"/>
    <w:rsid w:val="002B6D1E"/>
    <w:rsid w:val="002B728B"/>
    <w:rsid w:val="002B7F57"/>
    <w:rsid w:val="002C0C1E"/>
    <w:rsid w:val="002C0F4E"/>
    <w:rsid w:val="002C4EC3"/>
    <w:rsid w:val="002C54EB"/>
    <w:rsid w:val="002C5740"/>
    <w:rsid w:val="002C67B2"/>
    <w:rsid w:val="002D0744"/>
    <w:rsid w:val="002D082D"/>
    <w:rsid w:val="002D1B72"/>
    <w:rsid w:val="002D2044"/>
    <w:rsid w:val="002D25BA"/>
    <w:rsid w:val="002D2CED"/>
    <w:rsid w:val="002D3615"/>
    <w:rsid w:val="002D3831"/>
    <w:rsid w:val="002D3A36"/>
    <w:rsid w:val="002D40C6"/>
    <w:rsid w:val="002D4300"/>
    <w:rsid w:val="002D4528"/>
    <w:rsid w:val="002D51EB"/>
    <w:rsid w:val="002D53B3"/>
    <w:rsid w:val="002D56EA"/>
    <w:rsid w:val="002D5F4B"/>
    <w:rsid w:val="002D64DE"/>
    <w:rsid w:val="002D6E6B"/>
    <w:rsid w:val="002D6F55"/>
    <w:rsid w:val="002D7274"/>
    <w:rsid w:val="002D7596"/>
    <w:rsid w:val="002D77E2"/>
    <w:rsid w:val="002D7826"/>
    <w:rsid w:val="002D7AF3"/>
    <w:rsid w:val="002D7F2B"/>
    <w:rsid w:val="002E0092"/>
    <w:rsid w:val="002E0587"/>
    <w:rsid w:val="002E0670"/>
    <w:rsid w:val="002E07A6"/>
    <w:rsid w:val="002E0C1B"/>
    <w:rsid w:val="002E0E23"/>
    <w:rsid w:val="002E1889"/>
    <w:rsid w:val="002E1960"/>
    <w:rsid w:val="002E2175"/>
    <w:rsid w:val="002E35E2"/>
    <w:rsid w:val="002E3EE8"/>
    <w:rsid w:val="002E4587"/>
    <w:rsid w:val="002E4677"/>
    <w:rsid w:val="002E503B"/>
    <w:rsid w:val="002E5158"/>
    <w:rsid w:val="002E515D"/>
    <w:rsid w:val="002E5E7D"/>
    <w:rsid w:val="002E7587"/>
    <w:rsid w:val="002F0525"/>
    <w:rsid w:val="002F076C"/>
    <w:rsid w:val="002F0928"/>
    <w:rsid w:val="002F0D55"/>
    <w:rsid w:val="002F1408"/>
    <w:rsid w:val="002F14CF"/>
    <w:rsid w:val="002F2807"/>
    <w:rsid w:val="002F2A7A"/>
    <w:rsid w:val="002F2C06"/>
    <w:rsid w:val="002F2EF9"/>
    <w:rsid w:val="002F363B"/>
    <w:rsid w:val="002F37B1"/>
    <w:rsid w:val="002F4500"/>
    <w:rsid w:val="002F4EAC"/>
    <w:rsid w:val="002F4FAB"/>
    <w:rsid w:val="002F5654"/>
    <w:rsid w:val="002F579B"/>
    <w:rsid w:val="002F65B7"/>
    <w:rsid w:val="002F750A"/>
    <w:rsid w:val="002F7A56"/>
    <w:rsid w:val="002F7DA0"/>
    <w:rsid w:val="00300278"/>
    <w:rsid w:val="00300366"/>
    <w:rsid w:val="003003A9"/>
    <w:rsid w:val="003005CC"/>
    <w:rsid w:val="0030077B"/>
    <w:rsid w:val="00300C89"/>
    <w:rsid w:val="00301AAF"/>
    <w:rsid w:val="00302122"/>
    <w:rsid w:val="003021D2"/>
    <w:rsid w:val="003023EA"/>
    <w:rsid w:val="0030247F"/>
    <w:rsid w:val="003024AA"/>
    <w:rsid w:val="00303484"/>
    <w:rsid w:val="003037F8"/>
    <w:rsid w:val="00303863"/>
    <w:rsid w:val="00304583"/>
    <w:rsid w:val="0030465E"/>
    <w:rsid w:val="0030576B"/>
    <w:rsid w:val="00306B29"/>
    <w:rsid w:val="00307BA5"/>
    <w:rsid w:val="00307BFF"/>
    <w:rsid w:val="00310735"/>
    <w:rsid w:val="00310F63"/>
    <w:rsid w:val="00311713"/>
    <w:rsid w:val="00311DCC"/>
    <w:rsid w:val="00311FB4"/>
    <w:rsid w:val="003134AE"/>
    <w:rsid w:val="00315140"/>
    <w:rsid w:val="00315CF1"/>
    <w:rsid w:val="00316850"/>
    <w:rsid w:val="0031685D"/>
    <w:rsid w:val="00316B1D"/>
    <w:rsid w:val="00317424"/>
    <w:rsid w:val="00320654"/>
    <w:rsid w:val="00320DAB"/>
    <w:rsid w:val="003214FC"/>
    <w:rsid w:val="003226DC"/>
    <w:rsid w:val="00323069"/>
    <w:rsid w:val="0032475D"/>
    <w:rsid w:val="00325497"/>
    <w:rsid w:val="003259F1"/>
    <w:rsid w:val="003265A9"/>
    <w:rsid w:val="00326BB5"/>
    <w:rsid w:val="00326BE3"/>
    <w:rsid w:val="00326D3F"/>
    <w:rsid w:val="00327A36"/>
    <w:rsid w:val="00327B52"/>
    <w:rsid w:val="003300B8"/>
    <w:rsid w:val="00330C1F"/>
    <w:rsid w:val="003321DC"/>
    <w:rsid w:val="00332438"/>
    <w:rsid w:val="00332A9F"/>
    <w:rsid w:val="00333340"/>
    <w:rsid w:val="0033343C"/>
    <w:rsid w:val="00333474"/>
    <w:rsid w:val="00333F44"/>
    <w:rsid w:val="00334000"/>
    <w:rsid w:val="0033443A"/>
    <w:rsid w:val="00334D5F"/>
    <w:rsid w:val="00335F89"/>
    <w:rsid w:val="003362CA"/>
    <w:rsid w:val="00336417"/>
    <w:rsid w:val="00336B8F"/>
    <w:rsid w:val="00336C97"/>
    <w:rsid w:val="00337A49"/>
    <w:rsid w:val="00340136"/>
    <w:rsid w:val="00341013"/>
    <w:rsid w:val="00341361"/>
    <w:rsid w:val="00341C62"/>
    <w:rsid w:val="003423A7"/>
    <w:rsid w:val="00342795"/>
    <w:rsid w:val="00342916"/>
    <w:rsid w:val="00342E4E"/>
    <w:rsid w:val="00343CE0"/>
    <w:rsid w:val="0034497B"/>
    <w:rsid w:val="00344AC5"/>
    <w:rsid w:val="00345602"/>
    <w:rsid w:val="00345AF8"/>
    <w:rsid w:val="00345D1A"/>
    <w:rsid w:val="00345D4B"/>
    <w:rsid w:val="003460CC"/>
    <w:rsid w:val="003461D7"/>
    <w:rsid w:val="0034638E"/>
    <w:rsid w:val="00347254"/>
    <w:rsid w:val="00347701"/>
    <w:rsid w:val="0034784B"/>
    <w:rsid w:val="00347C53"/>
    <w:rsid w:val="00347F25"/>
    <w:rsid w:val="003500A2"/>
    <w:rsid w:val="00350609"/>
    <w:rsid w:val="0035074F"/>
    <w:rsid w:val="00350CB1"/>
    <w:rsid w:val="00351271"/>
    <w:rsid w:val="00351A65"/>
    <w:rsid w:val="00352206"/>
    <w:rsid w:val="0035280B"/>
    <w:rsid w:val="00352A9E"/>
    <w:rsid w:val="00352E68"/>
    <w:rsid w:val="003538B7"/>
    <w:rsid w:val="0035390A"/>
    <w:rsid w:val="0035479F"/>
    <w:rsid w:val="00354918"/>
    <w:rsid w:val="00354CA3"/>
    <w:rsid w:val="003551B7"/>
    <w:rsid w:val="00355426"/>
    <w:rsid w:val="003556E4"/>
    <w:rsid w:val="00356DA1"/>
    <w:rsid w:val="00357D20"/>
    <w:rsid w:val="00360961"/>
    <w:rsid w:val="00360B95"/>
    <w:rsid w:val="003611B1"/>
    <w:rsid w:val="0036128D"/>
    <w:rsid w:val="00361850"/>
    <w:rsid w:val="00361C4E"/>
    <w:rsid w:val="00362471"/>
    <w:rsid w:val="00362A6A"/>
    <w:rsid w:val="00362C01"/>
    <w:rsid w:val="00362E17"/>
    <w:rsid w:val="0036337E"/>
    <w:rsid w:val="00363D75"/>
    <w:rsid w:val="00364FE8"/>
    <w:rsid w:val="0036637C"/>
    <w:rsid w:val="00366F6C"/>
    <w:rsid w:val="00367210"/>
    <w:rsid w:val="00367CE2"/>
    <w:rsid w:val="00367DA2"/>
    <w:rsid w:val="00370DFE"/>
    <w:rsid w:val="003713C0"/>
    <w:rsid w:val="00371CF3"/>
    <w:rsid w:val="00371DA1"/>
    <w:rsid w:val="00371EE5"/>
    <w:rsid w:val="00372369"/>
    <w:rsid w:val="00374B53"/>
    <w:rsid w:val="00374E09"/>
    <w:rsid w:val="003757CC"/>
    <w:rsid w:val="003758C4"/>
    <w:rsid w:val="00376763"/>
    <w:rsid w:val="0037702E"/>
    <w:rsid w:val="00377841"/>
    <w:rsid w:val="00380162"/>
    <w:rsid w:val="00380A9C"/>
    <w:rsid w:val="00380CA5"/>
    <w:rsid w:val="003812C8"/>
    <w:rsid w:val="00381370"/>
    <w:rsid w:val="00381D31"/>
    <w:rsid w:val="00382116"/>
    <w:rsid w:val="0038237C"/>
    <w:rsid w:val="00382841"/>
    <w:rsid w:val="0038454A"/>
    <w:rsid w:val="00385EAE"/>
    <w:rsid w:val="003867B6"/>
    <w:rsid w:val="00386A16"/>
    <w:rsid w:val="00387579"/>
    <w:rsid w:val="0038769E"/>
    <w:rsid w:val="00390036"/>
    <w:rsid w:val="003902C6"/>
    <w:rsid w:val="003915FA"/>
    <w:rsid w:val="00391E0F"/>
    <w:rsid w:val="00391F29"/>
    <w:rsid w:val="00392FA9"/>
    <w:rsid w:val="003933BD"/>
    <w:rsid w:val="003935F2"/>
    <w:rsid w:val="00394103"/>
    <w:rsid w:val="0039410E"/>
    <w:rsid w:val="00394181"/>
    <w:rsid w:val="00394D9A"/>
    <w:rsid w:val="00394EA4"/>
    <w:rsid w:val="0039534A"/>
    <w:rsid w:val="0039539A"/>
    <w:rsid w:val="003953EF"/>
    <w:rsid w:val="00395834"/>
    <w:rsid w:val="00395FB2"/>
    <w:rsid w:val="003964C4"/>
    <w:rsid w:val="003964C9"/>
    <w:rsid w:val="003973DE"/>
    <w:rsid w:val="00397520"/>
    <w:rsid w:val="003A0803"/>
    <w:rsid w:val="003A08FF"/>
    <w:rsid w:val="003A1750"/>
    <w:rsid w:val="003A2ED7"/>
    <w:rsid w:val="003A309F"/>
    <w:rsid w:val="003A530A"/>
    <w:rsid w:val="003A62D0"/>
    <w:rsid w:val="003A7718"/>
    <w:rsid w:val="003A7EB6"/>
    <w:rsid w:val="003B0207"/>
    <w:rsid w:val="003B0C40"/>
    <w:rsid w:val="003B1512"/>
    <w:rsid w:val="003B28C3"/>
    <w:rsid w:val="003B2CB7"/>
    <w:rsid w:val="003B2D5F"/>
    <w:rsid w:val="003B2F36"/>
    <w:rsid w:val="003B3062"/>
    <w:rsid w:val="003B317A"/>
    <w:rsid w:val="003B32ED"/>
    <w:rsid w:val="003B3E2D"/>
    <w:rsid w:val="003B42CF"/>
    <w:rsid w:val="003B4467"/>
    <w:rsid w:val="003B4B55"/>
    <w:rsid w:val="003B5CFC"/>
    <w:rsid w:val="003B604B"/>
    <w:rsid w:val="003B6E08"/>
    <w:rsid w:val="003B709E"/>
    <w:rsid w:val="003C03E4"/>
    <w:rsid w:val="003C1543"/>
    <w:rsid w:val="003C1B21"/>
    <w:rsid w:val="003C2EB7"/>
    <w:rsid w:val="003C3181"/>
    <w:rsid w:val="003C34CB"/>
    <w:rsid w:val="003C3C93"/>
    <w:rsid w:val="003C6AEE"/>
    <w:rsid w:val="003C6B40"/>
    <w:rsid w:val="003C7071"/>
    <w:rsid w:val="003C75B2"/>
    <w:rsid w:val="003C76CB"/>
    <w:rsid w:val="003D00C8"/>
    <w:rsid w:val="003D1532"/>
    <w:rsid w:val="003D1569"/>
    <w:rsid w:val="003D163D"/>
    <w:rsid w:val="003D1754"/>
    <w:rsid w:val="003D1B6D"/>
    <w:rsid w:val="003D323E"/>
    <w:rsid w:val="003D3598"/>
    <w:rsid w:val="003D37D7"/>
    <w:rsid w:val="003D3962"/>
    <w:rsid w:val="003D3FC0"/>
    <w:rsid w:val="003D4316"/>
    <w:rsid w:val="003D46A6"/>
    <w:rsid w:val="003D4F51"/>
    <w:rsid w:val="003D5244"/>
    <w:rsid w:val="003D5276"/>
    <w:rsid w:val="003D5648"/>
    <w:rsid w:val="003D5A1F"/>
    <w:rsid w:val="003D5A59"/>
    <w:rsid w:val="003D5C91"/>
    <w:rsid w:val="003D6A2F"/>
    <w:rsid w:val="003D6BFD"/>
    <w:rsid w:val="003D7C16"/>
    <w:rsid w:val="003D7F1B"/>
    <w:rsid w:val="003E0320"/>
    <w:rsid w:val="003E16ED"/>
    <w:rsid w:val="003E1965"/>
    <w:rsid w:val="003E19BC"/>
    <w:rsid w:val="003E1C9B"/>
    <w:rsid w:val="003E1E86"/>
    <w:rsid w:val="003E26F1"/>
    <w:rsid w:val="003E2745"/>
    <w:rsid w:val="003E2871"/>
    <w:rsid w:val="003E28FD"/>
    <w:rsid w:val="003E2AF8"/>
    <w:rsid w:val="003E2C6B"/>
    <w:rsid w:val="003E2DFF"/>
    <w:rsid w:val="003E2EBA"/>
    <w:rsid w:val="003E347E"/>
    <w:rsid w:val="003E391D"/>
    <w:rsid w:val="003E46FE"/>
    <w:rsid w:val="003E5355"/>
    <w:rsid w:val="003E55EA"/>
    <w:rsid w:val="003E571B"/>
    <w:rsid w:val="003E5DAE"/>
    <w:rsid w:val="003E609E"/>
    <w:rsid w:val="003E6755"/>
    <w:rsid w:val="003E7117"/>
    <w:rsid w:val="003E7489"/>
    <w:rsid w:val="003E7973"/>
    <w:rsid w:val="003E7E84"/>
    <w:rsid w:val="003F0236"/>
    <w:rsid w:val="003F0592"/>
    <w:rsid w:val="003F21A8"/>
    <w:rsid w:val="003F2233"/>
    <w:rsid w:val="003F2CA1"/>
    <w:rsid w:val="003F3035"/>
    <w:rsid w:val="003F368D"/>
    <w:rsid w:val="003F3714"/>
    <w:rsid w:val="003F3D85"/>
    <w:rsid w:val="003F3E24"/>
    <w:rsid w:val="003F4A0E"/>
    <w:rsid w:val="003F5396"/>
    <w:rsid w:val="003F71F1"/>
    <w:rsid w:val="003F75A7"/>
    <w:rsid w:val="003F787F"/>
    <w:rsid w:val="004002ED"/>
    <w:rsid w:val="00400B64"/>
    <w:rsid w:val="004014A8"/>
    <w:rsid w:val="00401584"/>
    <w:rsid w:val="004018B9"/>
    <w:rsid w:val="00401C03"/>
    <w:rsid w:val="00401CA7"/>
    <w:rsid w:val="00401D66"/>
    <w:rsid w:val="00402628"/>
    <w:rsid w:val="00402890"/>
    <w:rsid w:val="00402B41"/>
    <w:rsid w:val="0040321D"/>
    <w:rsid w:val="00404B34"/>
    <w:rsid w:val="00404B9A"/>
    <w:rsid w:val="00405E93"/>
    <w:rsid w:val="00406C30"/>
    <w:rsid w:val="00407527"/>
    <w:rsid w:val="00410025"/>
    <w:rsid w:val="004101C4"/>
    <w:rsid w:val="004104AE"/>
    <w:rsid w:val="004105C3"/>
    <w:rsid w:val="004105E0"/>
    <w:rsid w:val="00410787"/>
    <w:rsid w:val="00410BC7"/>
    <w:rsid w:val="00410F02"/>
    <w:rsid w:val="00411477"/>
    <w:rsid w:val="00412923"/>
    <w:rsid w:val="00412C25"/>
    <w:rsid w:val="00412E7F"/>
    <w:rsid w:val="0041310A"/>
    <w:rsid w:val="00413826"/>
    <w:rsid w:val="00413BBF"/>
    <w:rsid w:val="00413E04"/>
    <w:rsid w:val="00414040"/>
    <w:rsid w:val="00414069"/>
    <w:rsid w:val="00414537"/>
    <w:rsid w:val="004145C0"/>
    <w:rsid w:val="00414BD0"/>
    <w:rsid w:val="00415742"/>
    <w:rsid w:val="00415804"/>
    <w:rsid w:val="004169EA"/>
    <w:rsid w:val="00416AF1"/>
    <w:rsid w:val="00417A4C"/>
    <w:rsid w:val="00420A1D"/>
    <w:rsid w:val="00420F4E"/>
    <w:rsid w:val="00421BE0"/>
    <w:rsid w:val="00421CFE"/>
    <w:rsid w:val="00421ED4"/>
    <w:rsid w:val="00422212"/>
    <w:rsid w:val="00422EF7"/>
    <w:rsid w:val="00424E8D"/>
    <w:rsid w:val="004257FB"/>
    <w:rsid w:val="0042613F"/>
    <w:rsid w:val="00426A51"/>
    <w:rsid w:val="0043214B"/>
    <w:rsid w:val="00432A6C"/>
    <w:rsid w:val="0043322B"/>
    <w:rsid w:val="00433876"/>
    <w:rsid w:val="0043387F"/>
    <w:rsid w:val="00433A67"/>
    <w:rsid w:val="00433F4E"/>
    <w:rsid w:val="004346A5"/>
    <w:rsid w:val="00434D39"/>
    <w:rsid w:val="00435209"/>
    <w:rsid w:val="00435B18"/>
    <w:rsid w:val="00436D2F"/>
    <w:rsid w:val="00437BA6"/>
    <w:rsid w:val="00437EA3"/>
    <w:rsid w:val="00440254"/>
    <w:rsid w:val="00440C9A"/>
    <w:rsid w:val="00440D6E"/>
    <w:rsid w:val="00441001"/>
    <w:rsid w:val="00441201"/>
    <w:rsid w:val="00442311"/>
    <w:rsid w:val="004427AD"/>
    <w:rsid w:val="00442AF2"/>
    <w:rsid w:val="00442B85"/>
    <w:rsid w:val="00442F8A"/>
    <w:rsid w:val="00443837"/>
    <w:rsid w:val="00443CD8"/>
    <w:rsid w:val="004444B8"/>
    <w:rsid w:val="004446BF"/>
    <w:rsid w:val="0044496A"/>
    <w:rsid w:val="00446658"/>
    <w:rsid w:val="00446B2C"/>
    <w:rsid w:val="004470C2"/>
    <w:rsid w:val="00447C67"/>
    <w:rsid w:val="00450017"/>
    <w:rsid w:val="004505B5"/>
    <w:rsid w:val="004519F5"/>
    <w:rsid w:val="00452346"/>
    <w:rsid w:val="00453379"/>
    <w:rsid w:val="0045451D"/>
    <w:rsid w:val="004549FD"/>
    <w:rsid w:val="004553FE"/>
    <w:rsid w:val="0045599A"/>
    <w:rsid w:val="00455FA9"/>
    <w:rsid w:val="004567D1"/>
    <w:rsid w:val="0045687B"/>
    <w:rsid w:val="004569DC"/>
    <w:rsid w:val="00457C5B"/>
    <w:rsid w:val="004604C0"/>
    <w:rsid w:val="00460DBB"/>
    <w:rsid w:val="0046105C"/>
    <w:rsid w:val="0046192A"/>
    <w:rsid w:val="004620C2"/>
    <w:rsid w:val="0046299E"/>
    <w:rsid w:val="00464040"/>
    <w:rsid w:val="00464266"/>
    <w:rsid w:val="00464AA5"/>
    <w:rsid w:val="00465553"/>
    <w:rsid w:val="004655C3"/>
    <w:rsid w:val="004659D3"/>
    <w:rsid w:val="00465FB7"/>
    <w:rsid w:val="00466037"/>
    <w:rsid w:val="004664B5"/>
    <w:rsid w:val="0046677C"/>
    <w:rsid w:val="00467524"/>
    <w:rsid w:val="00467591"/>
    <w:rsid w:val="00470A23"/>
    <w:rsid w:val="00470B4A"/>
    <w:rsid w:val="00471705"/>
    <w:rsid w:val="004718F9"/>
    <w:rsid w:val="004742C1"/>
    <w:rsid w:val="004743D0"/>
    <w:rsid w:val="00474D28"/>
    <w:rsid w:val="0047545B"/>
    <w:rsid w:val="00475580"/>
    <w:rsid w:val="00475EAB"/>
    <w:rsid w:val="00476059"/>
    <w:rsid w:val="004765C4"/>
    <w:rsid w:val="00477F56"/>
    <w:rsid w:val="004803B2"/>
    <w:rsid w:val="00480A0A"/>
    <w:rsid w:val="00480D10"/>
    <w:rsid w:val="00480F32"/>
    <w:rsid w:val="0048154A"/>
    <w:rsid w:val="00481A09"/>
    <w:rsid w:val="00482CD8"/>
    <w:rsid w:val="00482D7D"/>
    <w:rsid w:val="0048300B"/>
    <w:rsid w:val="00483DEE"/>
    <w:rsid w:val="004845E4"/>
    <w:rsid w:val="004848D0"/>
    <w:rsid w:val="00484F99"/>
    <w:rsid w:val="00484FD6"/>
    <w:rsid w:val="00485695"/>
    <w:rsid w:val="004857D3"/>
    <w:rsid w:val="004860BD"/>
    <w:rsid w:val="0048685F"/>
    <w:rsid w:val="00486A84"/>
    <w:rsid w:val="0048753B"/>
    <w:rsid w:val="004877F6"/>
    <w:rsid w:val="00487E49"/>
    <w:rsid w:val="00490443"/>
    <w:rsid w:val="00490619"/>
    <w:rsid w:val="00490732"/>
    <w:rsid w:val="0049147B"/>
    <w:rsid w:val="0049147F"/>
    <w:rsid w:val="004914C5"/>
    <w:rsid w:val="00491508"/>
    <w:rsid w:val="004916B2"/>
    <w:rsid w:val="004919B9"/>
    <w:rsid w:val="00491B10"/>
    <w:rsid w:val="00492BD0"/>
    <w:rsid w:val="004936C0"/>
    <w:rsid w:val="004937C8"/>
    <w:rsid w:val="00494798"/>
    <w:rsid w:val="00494BA6"/>
    <w:rsid w:val="0049511D"/>
    <w:rsid w:val="00495DB6"/>
    <w:rsid w:val="00495E8B"/>
    <w:rsid w:val="00496C7E"/>
    <w:rsid w:val="004A0776"/>
    <w:rsid w:val="004A0A70"/>
    <w:rsid w:val="004A1AD9"/>
    <w:rsid w:val="004A2053"/>
    <w:rsid w:val="004A2831"/>
    <w:rsid w:val="004A328C"/>
    <w:rsid w:val="004A37F2"/>
    <w:rsid w:val="004A3996"/>
    <w:rsid w:val="004A39D8"/>
    <w:rsid w:val="004A3F50"/>
    <w:rsid w:val="004A5B63"/>
    <w:rsid w:val="004A6299"/>
    <w:rsid w:val="004A6A0C"/>
    <w:rsid w:val="004A75EF"/>
    <w:rsid w:val="004A7D5B"/>
    <w:rsid w:val="004B01FE"/>
    <w:rsid w:val="004B1425"/>
    <w:rsid w:val="004B17B7"/>
    <w:rsid w:val="004B220B"/>
    <w:rsid w:val="004B2392"/>
    <w:rsid w:val="004B2E3E"/>
    <w:rsid w:val="004B4448"/>
    <w:rsid w:val="004B4ED4"/>
    <w:rsid w:val="004B5E24"/>
    <w:rsid w:val="004C02CE"/>
    <w:rsid w:val="004C0BA1"/>
    <w:rsid w:val="004C0BD9"/>
    <w:rsid w:val="004C1F92"/>
    <w:rsid w:val="004C2201"/>
    <w:rsid w:val="004C374C"/>
    <w:rsid w:val="004C3B83"/>
    <w:rsid w:val="004C5235"/>
    <w:rsid w:val="004C5F05"/>
    <w:rsid w:val="004C6DA0"/>
    <w:rsid w:val="004C76DE"/>
    <w:rsid w:val="004C7718"/>
    <w:rsid w:val="004D0129"/>
    <w:rsid w:val="004D0F46"/>
    <w:rsid w:val="004D19AD"/>
    <w:rsid w:val="004D3165"/>
    <w:rsid w:val="004D34D9"/>
    <w:rsid w:val="004D393C"/>
    <w:rsid w:val="004D3E2C"/>
    <w:rsid w:val="004D440E"/>
    <w:rsid w:val="004D4500"/>
    <w:rsid w:val="004D4611"/>
    <w:rsid w:val="004D49CD"/>
    <w:rsid w:val="004D558C"/>
    <w:rsid w:val="004D76C7"/>
    <w:rsid w:val="004D76CF"/>
    <w:rsid w:val="004D7F66"/>
    <w:rsid w:val="004E02EC"/>
    <w:rsid w:val="004E0409"/>
    <w:rsid w:val="004E166E"/>
    <w:rsid w:val="004E1964"/>
    <w:rsid w:val="004E2019"/>
    <w:rsid w:val="004E206B"/>
    <w:rsid w:val="004E267B"/>
    <w:rsid w:val="004E27F6"/>
    <w:rsid w:val="004E3327"/>
    <w:rsid w:val="004E3561"/>
    <w:rsid w:val="004E4184"/>
    <w:rsid w:val="004E4454"/>
    <w:rsid w:val="004E5301"/>
    <w:rsid w:val="004E5814"/>
    <w:rsid w:val="004E6328"/>
    <w:rsid w:val="004E6451"/>
    <w:rsid w:val="004E6E03"/>
    <w:rsid w:val="004E72EA"/>
    <w:rsid w:val="004E76BA"/>
    <w:rsid w:val="004E7C43"/>
    <w:rsid w:val="004E7E2B"/>
    <w:rsid w:val="004F01D1"/>
    <w:rsid w:val="004F0A43"/>
    <w:rsid w:val="004F0DA3"/>
    <w:rsid w:val="004F1542"/>
    <w:rsid w:val="004F1837"/>
    <w:rsid w:val="004F1C9F"/>
    <w:rsid w:val="004F264E"/>
    <w:rsid w:val="004F2A64"/>
    <w:rsid w:val="004F2CC1"/>
    <w:rsid w:val="004F309F"/>
    <w:rsid w:val="004F3334"/>
    <w:rsid w:val="004F40DD"/>
    <w:rsid w:val="004F4FD9"/>
    <w:rsid w:val="004F5A81"/>
    <w:rsid w:val="004F5F55"/>
    <w:rsid w:val="004F67AE"/>
    <w:rsid w:val="004F6D00"/>
    <w:rsid w:val="004F7020"/>
    <w:rsid w:val="004F7267"/>
    <w:rsid w:val="005004FA"/>
    <w:rsid w:val="00500C23"/>
    <w:rsid w:val="00500FED"/>
    <w:rsid w:val="0050157E"/>
    <w:rsid w:val="0050264B"/>
    <w:rsid w:val="00502ED7"/>
    <w:rsid w:val="00503063"/>
    <w:rsid w:val="005049B4"/>
    <w:rsid w:val="005049E0"/>
    <w:rsid w:val="005049F8"/>
    <w:rsid w:val="00504C8E"/>
    <w:rsid w:val="005055C7"/>
    <w:rsid w:val="0050627B"/>
    <w:rsid w:val="00507533"/>
    <w:rsid w:val="0050753A"/>
    <w:rsid w:val="005079AB"/>
    <w:rsid w:val="00507AC2"/>
    <w:rsid w:val="00510574"/>
    <w:rsid w:val="0051089D"/>
    <w:rsid w:val="00510D3A"/>
    <w:rsid w:val="00511516"/>
    <w:rsid w:val="00512423"/>
    <w:rsid w:val="00512473"/>
    <w:rsid w:val="00512D1C"/>
    <w:rsid w:val="00515AE4"/>
    <w:rsid w:val="0051625A"/>
    <w:rsid w:val="005164BF"/>
    <w:rsid w:val="00516BC6"/>
    <w:rsid w:val="00516FC6"/>
    <w:rsid w:val="00517436"/>
    <w:rsid w:val="00517554"/>
    <w:rsid w:val="00517D01"/>
    <w:rsid w:val="00521279"/>
    <w:rsid w:val="00521A21"/>
    <w:rsid w:val="00521CD6"/>
    <w:rsid w:val="00521FB3"/>
    <w:rsid w:val="0052226E"/>
    <w:rsid w:val="00523192"/>
    <w:rsid w:val="005242D7"/>
    <w:rsid w:val="005246BE"/>
    <w:rsid w:val="0052572C"/>
    <w:rsid w:val="00525782"/>
    <w:rsid w:val="005262CF"/>
    <w:rsid w:val="005265F6"/>
    <w:rsid w:val="00526E65"/>
    <w:rsid w:val="00526F2E"/>
    <w:rsid w:val="00527842"/>
    <w:rsid w:val="00530054"/>
    <w:rsid w:val="00530AB9"/>
    <w:rsid w:val="00530C34"/>
    <w:rsid w:val="00530CF8"/>
    <w:rsid w:val="00530E1E"/>
    <w:rsid w:val="00531ABC"/>
    <w:rsid w:val="005327F8"/>
    <w:rsid w:val="00532EDF"/>
    <w:rsid w:val="005332BA"/>
    <w:rsid w:val="005337AD"/>
    <w:rsid w:val="00533849"/>
    <w:rsid w:val="005347BE"/>
    <w:rsid w:val="005356C0"/>
    <w:rsid w:val="00535C22"/>
    <w:rsid w:val="005360F9"/>
    <w:rsid w:val="00536CD6"/>
    <w:rsid w:val="0053748F"/>
    <w:rsid w:val="0053771B"/>
    <w:rsid w:val="005404D3"/>
    <w:rsid w:val="0054092D"/>
    <w:rsid w:val="00540A52"/>
    <w:rsid w:val="00540FD4"/>
    <w:rsid w:val="0054183A"/>
    <w:rsid w:val="00541A67"/>
    <w:rsid w:val="00541EAF"/>
    <w:rsid w:val="0054291C"/>
    <w:rsid w:val="00543EC3"/>
    <w:rsid w:val="0054407B"/>
    <w:rsid w:val="005440AD"/>
    <w:rsid w:val="0054435F"/>
    <w:rsid w:val="005444A6"/>
    <w:rsid w:val="00544D3B"/>
    <w:rsid w:val="00545DBA"/>
    <w:rsid w:val="0054607F"/>
    <w:rsid w:val="005467A3"/>
    <w:rsid w:val="00547B62"/>
    <w:rsid w:val="00550236"/>
    <w:rsid w:val="005506DB"/>
    <w:rsid w:val="00551730"/>
    <w:rsid w:val="00551F2F"/>
    <w:rsid w:val="00552247"/>
    <w:rsid w:val="00552E8C"/>
    <w:rsid w:val="00553227"/>
    <w:rsid w:val="00553FA9"/>
    <w:rsid w:val="005543B6"/>
    <w:rsid w:val="005543EA"/>
    <w:rsid w:val="00554460"/>
    <w:rsid w:val="005546E1"/>
    <w:rsid w:val="0055484D"/>
    <w:rsid w:val="005548D4"/>
    <w:rsid w:val="0055582D"/>
    <w:rsid w:val="00555B6C"/>
    <w:rsid w:val="00555EF0"/>
    <w:rsid w:val="00556179"/>
    <w:rsid w:val="0055661A"/>
    <w:rsid w:val="005567A3"/>
    <w:rsid w:val="00556D22"/>
    <w:rsid w:val="00556E8D"/>
    <w:rsid w:val="00557445"/>
    <w:rsid w:val="00557E57"/>
    <w:rsid w:val="00560004"/>
    <w:rsid w:val="005601AA"/>
    <w:rsid w:val="0056048E"/>
    <w:rsid w:val="005605FC"/>
    <w:rsid w:val="005606B3"/>
    <w:rsid w:val="005607BF"/>
    <w:rsid w:val="005608BF"/>
    <w:rsid w:val="005623D4"/>
    <w:rsid w:val="00562FC2"/>
    <w:rsid w:val="00563553"/>
    <w:rsid w:val="005639FF"/>
    <w:rsid w:val="00564215"/>
    <w:rsid w:val="0056506E"/>
    <w:rsid w:val="0056628A"/>
    <w:rsid w:val="00566566"/>
    <w:rsid w:val="005665B1"/>
    <w:rsid w:val="00566627"/>
    <w:rsid w:val="00566823"/>
    <w:rsid w:val="0056769A"/>
    <w:rsid w:val="00567D99"/>
    <w:rsid w:val="005708AD"/>
    <w:rsid w:val="00570E70"/>
    <w:rsid w:val="00570F77"/>
    <w:rsid w:val="0057105B"/>
    <w:rsid w:val="00571CB1"/>
    <w:rsid w:val="005732CD"/>
    <w:rsid w:val="005734C0"/>
    <w:rsid w:val="00573799"/>
    <w:rsid w:val="00573B7B"/>
    <w:rsid w:val="0057406D"/>
    <w:rsid w:val="00574084"/>
    <w:rsid w:val="005744A1"/>
    <w:rsid w:val="00574662"/>
    <w:rsid w:val="00574943"/>
    <w:rsid w:val="00575B38"/>
    <w:rsid w:val="005760CC"/>
    <w:rsid w:val="00576530"/>
    <w:rsid w:val="00576ECE"/>
    <w:rsid w:val="00577083"/>
    <w:rsid w:val="0057710F"/>
    <w:rsid w:val="00577444"/>
    <w:rsid w:val="00577A4D"/>
    <w:rsid w:val="00577CAF"/>
    <w:rsid w:val="00580C33"/>
    <w:rsid w:val="00581DAE"/>
    <w:rsid w:val="005828FF"/>
    <w:rsid w:val="005843B3"/>
    <w:rsid w:val="00584C27"/>
    <w:rsid w:val="00584FB5"/>
    <w:rsid w:val="0058531E"/>
    <w:rsid w:val="005855E9"/>
    <w:rsid w:val="00585E66"/>
    <w:rsid w:val="00585F15"/>
    <w:rsid w:val="00586167"/>
    <w:rsid w:val="00586CB8"/>
    <w:rsid w:val="00586FA9"/>
    <w:rsid w:val="00586FF9"/>
    <w:rsid w:val="0058760F"/>
    <w:rsid w:val="00590493"/>
    <w:rsid w:val="00590498"/>
    <w:rsid w:val="005907BD"/>
    <w:rsid w:val="005907FC"/>
    <w:rsid w:val="00590EC7"/>
    <w:rsid w:val="00591CFE"/>
    <w:rsid w:val="00591F2A"/>
    <w:rsid w:val="00592C7E"/>
    <w:rsid w:val="00592E9F"/>
    <w:rsid w:val="00594A0B"/>
    <w:rsid w:val="00594FFD"/>
    <w:rsid w:val="00595158"/>
    <w:rsid w:val="005958B6"/>
    <w:rsid w:val="0059608E"/>
    <w:rsid w:val="00596924"/>
    <w:rsid w:val="00596B56"/>
    <w:rsid w:val="005974DC"/>
    <w:rsid w:val="005A0C86"/>
    <w:rsid w:val="005A1BF0"/>
    <w:rsid w:val="005A1F5E"/>
    <w:rsid w:val="005A3A12"/>
    <w:rsid w:val="005A4042"/>
    <w:rsid w:val="005A4358"/>
    <w:rsid w:val="005A44E9"/>
    <w:rsid w:val="005A4944"/>
    <w:rsid w:val="005A4CE4"/>
    <w:rsid w:val="005A528E"/>
    <w:rsid w:val="005A52D1"/>
    <w:rsid w:val="005A585A"/>
    <w:rsid w:val="005A58CF"/>
    <w:rsid w:val="005A5961"/>
    <w:rsid w:val="005A5ACD"/>
    <w:rsid w:val="005A5E83"/>
    <w:rsid w:val="005A65EB"/>
    <w:rsid w:val="005A6E27"/>
    <w:rsid w:val="005A7E92"/>
    <w:rsid w:val="005B1758"/>
    <w:rsid w:val="005B18B9"/>
    <w:rsid w:val="005B1E51"/>
    <w:rsid w:val="005B2327"/>
    <w:rsid w:val="005B2636"/>
    <w:rsid w:val="005B37EF"/>
    <w:rsid w:val="005B3E1E"/>
    <w:rsid w:val="005B5315"/>
    <w:rsid w:val="005B539C"/>
    <w:rsid w:val="005B5661"/>
    <w:rsid w:val="005B5B46"/>
    <w:rsid w:val="005B5DEA"/>
    <w:rsid w:val="005B6B70"/>
    <w:rsid w:val="005B6E0B"/>
    <w:rsid w:val="005B75D9"/>
    <w:rsid w:val="005B7E6C"/>
    <w:rsid w:val="005B7ED4"/>
    <w:rsid w:val="005C06E7"/>
    <w:rsid w:val="005C0845"/>
    <w:rsid w:val="005C0FFF"/>
    <w:rsid w:val="005C11BE"/>
    <w:rsid w:val="005C13A0"/>
    <w:rsid w:val="005C2769"/>
    <w:rsid w:val="005C3901"/>
    <w:rsid w:val="005C47CA"/>
    <w:rsid w:val="005C4E31"/>
    <w:rsid w:val="005C4EE9"/>
    <w:rsid w:val="005C570A"/>
    <w:rsid w:val="005C580D"/>
    <w:rsid w:val="005C5887"/>
    <w:rsid w:val="005C5E6D"/>
    <w:rsid w:val="005C6063"/>
    <w:rsid w:val="005C6138"/>
    <w:rsid w:val="005C6E66"/>
    <w:rsid w:val="005C7B3D"/>
    <w:rsid w:val="005C7E2D"/>
    <w:rsid w:val="005D077B"/>
    <w:rsid w:val="005D100E"/>
    <w:rsid w:val="005D139B"/>
    <w:rsid w:val="005D23B8"/>
    <w:rsid w:val="005D2475"/>
    <w:rsid w:val="005D2A44"/>
    <w:rsid w:val="005D3228"/>
    <w:rsid w:val="005D36F0"/>
    <w:rsid w:val="005D4ADE"/>
    <w:rsid w:val="005D556B"/>
    <w:rsid w:val="005D5581"/>
    <w:rsid w:val="005D5787"/>
    <w:rsid w:val="005D5B15"/>
    <w:rsid w:val="005D61CC"/>
    <w:rsid w:val="005D6812"/>
    <w:rsid w:val="005D6F79"/>
    <w:rsid w:val="005D708E"/>
    <w:rsid w:val="005D7570"/>
    <w:rsid w:val="005D75C4"/>
    <w:rsid w:val="005D78A3"/>
    <w:rsid w:val="005D7F0E"/>
    <w:rsid w:val="005E0412"/>
    <w:rsid w:val="005E0AE3"/>
    <w:rsid w:val="005E1372"/>
    <w:rsid w:val="005E19FD"/>
    <w:rsid w:val="005E1BF3"/>
    <w:rsid w:val="005E24EC"/>
    <w:rsid w:val="005E26AA"/>
    <w:rsid w:val="005E26DC"/>
    <w:rsid w:val="005E2816"/>
    <w:rsid w:val="005E2ACB"/>
    <w:rsid w:val="005E2F0C"/>
    <w:rsid w:val="005E34FA"/>
    <w:rsid w:val="005E37B7"/>
    <w:rsid w:val="005E3CA5"/>
    <w:rsid w:val="005E3D7B"/>
    <w:rsid w:val="005E43AC"/>
    <w:rsid w:val="005E4D61"/>
    <w:rsid w:val="005E5270"/>
    <w:rsid w:val="005E5545"/>
    <w:rsid w:val="005E558F"/>
    <w:rsid w:val="005E58BB"/>
    <w:rsid w:val="005E5E26"/>
    <w:rsid w:val="005E61DF"/>
    <w:rsid w:val="005E66A3"/>
    <w:rsid w:val="005E6CA2"/>
    <w:rsid w:val="005E75F1"/>
    <w:rsid w:val="005F1A97"/>
    <w:rsid w:val="005F1B96"/>
    <w:rsid w:val="005F20AC"/>
    <w:rsid w:val="005F3117"/>
    <w:rsid w:val="005F35F0"/>
    <w:rsid w:val="005F380A"/>
    <w:rsid w:val="005F47EF"/>
    <w:rsid w:val="005F5046"/>
    <w:rsid w:val="005F6CAD"/>
    <w:rsid w:val="005F7339"/>
    <w:rsid w:val="005F79D7"/>
    <w:rsid w:val="005F7E07"/>
    <w:rsid w:val="005F7EEA"/>
    <w:rsid w:val="00600707"/>
    <w:rsid w:val="006017A9"/>
    <w:rsid w:val="0060184E"/>
    <w:rsid w:val="00601AFF"/>
    <w:rsid w:val="00602311"/>
    <w:rsid w:val="00602F2F"/>
    <w:rsid w:val="00603654"/>
    <w:rsid w:val="0060441A"/>
    <w:rsid w:val="00604757"/>
    <w:rsid w:val="006047E0"/>
    <w:rsid w:val="00604AA2"/>
    <w:rsid w:val="00604B30"/>
    <w:rsid w:val="00604FB7"/>
    <w:rsid w:val="00605ACF"/>
    <w:rsid w:val="00605DAE"/>
    <w:rsid w:val="006072FB"/>
    <w:rsid w:val="006079F4"/>
    <w:rsid w:val="00607E9F"/>
    <w:rsid w:val="0061023D"/>
    <w:rsid w:val="00610298"/>
    <w:rsid w:val="00610352"/>
    <w:rsid w:val="00610480"/>
    <w:rsid w:val="006108FD"/>
    <w:rsid w:val="00610C8E"/>
    <w:rsid w:val="00612637"/>
    <w:rsid w:val="006129D2"/>
    <w:rsid w:val="006138B1"/>
    <w:rsid w:val="00615724"/>
    <w:rsid w:val="006158F3"/>
    <w:rsid w:val="00616A64"/>
    <w:rsid w:val="00617BFE"/>
    <w:rsid w:val="0062018A"/>
    <w:rsid w:val="0062019C"/>
    <w:rsid w:val="00621BF8"/>
    <w:rsid w:val="00621CAE"/>
    <w:rsid w:val="00622543"/>
    <w:rsid w:val="00622837"/>
    <w:rsid w:val="00623435"/>
    <w:rsid w:val="00623DE8"/>
    <w:rsid w:val="00623EA1"/>
    <w:rsid w:val="0062404D"/>
    <w:rsid w:val="006240E5"/>
    <w:rsid w:val="00624434"/>
    <w:rsid w:val="006245EF"/>
    <w:rsid w:val="00624973"/>
    <w:rsid w:val="006251EF"/>
    <w:rsid w:val="0062656E"/>
    <w:rsid w:val="006266DE"/>
    <w:rsid w:val="00626BEF"/>
    <w:rsid w:val="00626C9E"/>
    <w:rsid w:val="00627BF4"/>
    <w:rsid w:val="00627D1B"/>
    <w:rsid w:val="00627D63"/>
    <w:rsid w:val="00627D96"/>
    <w:rsid w:val="00627DD4"/>
    <w:rsid w:val="00627E2C"/>
    <w:rsid w:val="00630133"/>
    <w:rsid w:val="006308CE"/>
    <w:rsid w:val="00631C9E"/>
    <w:rsid w:val="00631E24"/>
    <w:rsid w:val="00632B05"/>
    <w:rsid w:val="00633200"/>
    <w:rsid w:val="00633FEE"/>
    <w:rsid w:val="00634444"/>
    <w:rsid w:val="00634DFB"/>
    <w:rsid w:val="00634FAE"/>
    <w:rsid w:val="006358C5"/>
    <w:rsid w:val="00635AA9"/>
    <w:rsid w:val="00635B98"/>
    <w:rsid w:val="00635E54"/>
    <w:rsid w:val="006366FA"/>
    <w:rsid w:val="006367E4"/>
    <w:rsid w:val="00636BC8"/>
    <w:rsid w:val="00636E20"/>
    <w:rsid w:val="00637785"/>
    <w:rsid w:val="006402C9"/>
    <w:rsid w:val="00640FFD"/>
    <w:rsid w:val="006413B7"/>
    <w:rsid w:val="00641B91"/>
    <w:rsid w:val="00641F19"/>
    <w:rsid w:val="00642CD1"/>
    <w:rsid w:val="00643177"/>
    <w:rsid w:val="006431B0"/>
    <w:rsid w:val="00643E8C"/>
    <w:rsid w:val="00643F01"/>
    <w:rsid w:val="00644A3D"/>
    <w:rsid w:val="00645070"/>
    <w:rsid w:val="00645B54"/>
    <w:rsid w:val="00645F28"/>
    <w:rsid w:val="006466F8"/>
    <w:rsid w:val="00646FAA"/>
    <w:rsid w:val="0064727C"/>
    <w:rsid w:val="00647522"/>
    <w:rsid w:val="006502E1"/>
    <w:rsid w:val="00652310"/>
    <w:rsid w:val="00653C97"/>
    <w:rsid w:val="00653E46"/>
    <w:rsid w:val="006559E9"/>
    <w:rsid w:val="00655DAB"/>
    <w:rsid w:val="00655EAC"/>
    <w:rsid w:val="006573D0"/>
    <w:rsid w:val="006577D1"/>
    <w:rsid w:val="006619CD"/>
    <w:rsid w:val="00662D17"/>
    <w:rsid w:val="00663373"/>
    <w:rsid w:val="00663683"/>
    <w:rsid w:val="00663945"/>
    <w:rsid w:val="00663B0F"/>
    <w:rsid w:val="00663B64"/>
    <w:rsid w:val="00663C84"/>
    <w:rsid w:val="00664031"/>
    <w:rsid w:val="00664943"/>
    <w:rsid w:val="00664A90"/>
    <w:rsid w:val="00664BB9"/>
    <w:rsid w:val="00664F8F"/>
    <w:rsid w:val="006650F6"/>
    <w:rsid w:val="00665D5E"/>
    <w:rsid w:val="00666A4F"/>
    <w:rsid w:val="00666BDC"/>
    <w:rsid w:val="0066771E"/>
    <w:rsid w:val="0066777D"/>
    <w:rsid w:val="00667A6F"/>
    <w:rsid w:val="00667B1B"/>
    <w:rsid w:val="0067147B"/>
    <w:rsid w:val="00671993"/>
    <w:rsid w:val="00672669"/>
    <w:rsid w:val="00672A13"/>
    <w:rsid w:val="00673153"/>
    <w:rsid w:val="00673651"/>
    <w:rsid w:val="00673B17"/>
    <w:rsid w:val="00673D13"/>
    <w:rsid w:val="00674064"/>
    <w:rsid w:val="00674163"/>
    <w:rsid w:val="006744B0"/>
    <w:rsid w:val="0067466A"/>
    <w:rsid w:val="00674E7D"/>
    <w:rsid w:val="0067600A"/>
    <w:rsid w:val="006761D7"/>
    <w:rsid w:val="00676F78"/>
    <w:rsid w:val="006773E7"/>
    <w:rsid w:val="00677F3C"/>
    <w:rsid w:val="00680CBB"/>
    <w:rsid w:val="006810B9"/>
    <w:rsid w:val="00682FDE"/>
    <w:rsid w:val="006832CB"/>
    <w:rsid w:val="00683D15"/>
    <w:rsid w:val="006840FA"/>
    <w:rsid w:val="006848E3"/>
    <w:rsid w:val="00684CC6"/>
    <w:rsid w:val="0068524E"/>
    <w:rsid w:val="00685624"/>
    <w:rsid w:val="00686089"/>
    <w:rsid w:val="006861A6"/>
    <w:rsid w:val="006863BC"/>
    <w:rsid w:val="00686CA8"/>
    <w:rsid w:val="00686E38"/>
    <w:rsid w:val="00687792"/>
    <w:rsid w:val="00691737"/>
    <w:rsid w:val="00691EED"/>
    <w:rsid w:val="006922A3"/>
    <w:rsid w:val="00692516"/>
    <w:rsid w:val="006925B2"/>
    <w:rsid w:val="00692E22"/>
    <w:rsid w:val="00692EA7"/>
    <w:rsid w:val="006939AF"/>
    <w:rsid w:val="0069428A"/>
    <w:rsid w:val="00694A90"/>
    <w:rsid w:val="00694AA1"/>
    <w:rsid w:val="00695318"/>
    <w:rsid w:val="006955EC"/>
    <w:rsid w:val="00696500"/>
    <w:rsid w:val="00696BAD"/>
    <w:rsid w:val="006A05F9"/>
    <w:rsid w:val="006A0616"/>
    <w:rsid w:val="006A1AE3"/>
    <w:rsid w:val="006A1BC4"/>
    <w:rsid w:val="006A1EDE"/>
    <w:rsid w:val="006A2B99"/>
    <w:rsid w:val="006A2EA7"/>
    <w:rsid w:val="006A350D"/>
    <w:rsid w:val="006A359A"/>
    <w:rsid w:val="006A4056"/>
    <w:rsid w:val="006A4115"/>
    <w:rsid w:val="006A6562"/>
    <w:rsid w:val="006A68BA"/>
    <w:rsid w:val="006A694D"/>
    <w:rsid w:val="006A77B9"/>
    <w:rsid w:val="006A79CC"/>
    <w:rsid w:val="006A7ED6"/>
    <w:rsid w:val="006B0607"/>
    <w:rsid w:val="006B0A6D"/>
    <w:rsid w:val="006B0C2D"/>
    <w:rsid w:val="006B14EF"/>
    <w:rsid w:val="006B1704"/>
    <w:rsid w:val="006B2FAF"/>
    <w:rsid w:val="006B3004"/>
    <w:rsid w:val="006B3AF4"/>
    <w:rsid w:val="006B4C5C"/>
    <w:rsid w:val="006B5164"/>
    <w:rsid w:val="006B5229"/>
    <w:rsid w:val="006B6614"/>
    <w:rsid w:val="006B69AB"/>
    <w:rsid w:val="006B6ADE"/>
    <w:rsid w:val="006B731A"/>
    <w:rsid w:val="006C06C7"/>
    <w:rsid w:val="006C0B0F"/>
    <w:rsid w:val="006C1435"/>
    <w:rsid w:val="006C147B"/>
    <w:rsid w:val="006C1844"/>
    <w:rsid w:val="006C1DBC"/>
    <w:rsid w:val="006C2938"/>
    <w:rsid w:val="006C295B"/>
    <w:rsid w:val="006C2CC0"/>
    <w:rsid w:val="006C2CC7"/>
    <w:rsid w:val="006C300E"/>
    <w:rsid w:val="006C3265"/>
    <w:rsid w:val="006C33BA"/>
    <w:rsid w:val="006C35A7"/>
    <w:rsid w:val="006C3E34"/>
    <w:rsid w:val="006C407D"/>
    <w:rsid w:val="006C40B2"/>
    <w:rsid w:val="006C4488"/>
    <w:rsid w:val="006C4DDD"/>
    <w:rsid w:val="006C507F"/>
    <w:rsid w:val="006C567B"/>
    <w:rsid w:val="006C5747"/>
    <w:rsid w:val="006C576E"/>
    <w:rsid w:val="006C5986"/>
    <w:rsid w:val="006C5FD2"/>
    <w:rsid w:val="006C6288"/>
    <w:rsid w:val="006C644C"/>
    <w:rsid w:val="006C73A6"/>
    <w:rsid w:val="006C79A5"/>
    <w:rsid w:val="006C7DB8"/>
    <w:rsid w:val="006C7DFF"/>
    <w:rsid w:val="006D0155"/>
    <w:rsid w:val="006D036F"/>
    <w:rsid w:val="006D04B3"/>
    <w:rsid w:val="006D0863"/>
    <w:rsid w:val="006D0982"/>
    <w:rsid w:val="006D0DEF"/>
    <w:rsid w:val="006D12FC"/>
    <w:rsid w:val="006D19D3"/>
    <w:rsid w:val="006D26F8"/>
    <w:rsid w:val="006D2C47"/>
    <w:rsid w:val="006D4342"/>
    <w:rsid w:val="006D46C8"/>
    <w:rsid w:val="006D4939"/>
    <w:rsid w:val="006D49C8"/>
    <w:rsid w:val="006D4BE5"/>
    <w:rsid w:val="006D50CC"/>
    <w:rsid w:val="006D5243"/>
    <w:rsid w:val="006D5705"/>
    <w:rsid w:val="006D5B10"/>
    <w:rsid w:val="006D5FFE"/>
    <w:rsid w:val="006D783A"/>
    <w:rsid w:val="006E069F"/>
    <w:rsid w:val="006E1428"/>
    <w:rsid w:val="006E1599"/>
    <w:rsid w:val="006E196A"/>
    <w:rsid w:val="006E1F59"/>
    <w:rsid w:val="006E4313"/>
    <w:rsid w:val="006E463F"/>
    <w:rsid w:val="006E4B5C"/>
    <w:rsid w:val="006E4CB7"/>
    <w:rsid w:val="006E54E0"/>
    <w:rsid w:val="006E5CBC"/>
    <w:rsid w:val="006E663C"/>
    <w:rsid w:val="006E68EC"/>
    <w:rsid w:val="006E6A81"/>
    <w:rsid w:val="006E6E3F"/>
    <w:rsid w:val="006E7C6A"/>
    <w:rsid w:val="006E7F88"/>
    <w:rsid w:val="006F0A0F"/>
    <w:rsid w:val="006F0F49"/>
    <w:rsid w:val="006F1877"/>
    <w:rsid w:val="006F1A41"/>
    <w:rsid w:val="006F20A2"/>
    <w:rsid w:val="006F24ED"/>
    <w:rsid w:val="006F29CC"/>
    <w:rsid w:val="006F2ABD"/>
    <w:rsid w:val="006F2CE3"/>
    <w:rsid w:val="006F4189"/>
    <w:rsid w:val="006F4212"/>
    <w:rsid w:val="006F424D"/>
    <w:rsid w:val="006F5C44"/>
    <w:rsid w:val="006F6D0C"/>
    <w:rsid w:val="006F6F85"/>
    <w:rsid w:val="006F7F07"/>
    <w:rsid w:val="00700225"/>
    <w:rsid w:val="00700AC7"/>
    <w:rsid w:val="00700DEE"/>
    <w:rsid w:val="00700E2A"/>
    <w:rsid w:val="00700EC5"/>
    <w:rsid w:val="00700FFE"/>
    <w:rsid w:val="00701322"/>
    <w:rsid w:val="00701463"/>
    <w:rsid w:val="007016AE"/>
    <w:rsid w:val="00701B6A"/>
    <w:rsid w:val="0070398D"/>
    <w:rsid w:val="0070447F"/>
    <w:rsid w:val="00705251"/>
    <w:rsid w:val="007058AE"/>
    <w:rsid w:val="00705D11"/>
    <w:rsid w:val="007079A2"/>
    <w:rsid w:val="007079BF"/>
    <w:rsid w:val="00710BFF"/>
    <w:rsid w:val="00710CE6"/>
    <w:rsid w:val="00711388"/>
    <w:rsid w:val="0071190C"/>
    <w:rsid w:val="007124DE"/>
    <w:rsid w:val="00712DDA"/>
    <w:rsid w:val="00712EFC"/>
    <w:rsid w:val="007132FE"/>
    <w:rsid w:val="0071355C"/>
    <w:rsid w:val="00713D13"/>
    <w:rsid w:val="00713F70"/>
    <w:rsid w:val="007142CE"/>
    <w:rsid w:val="00714A47"/>
    <w:rsid w:val="00714C10"/>
    <w:rsid w:val="007150C1"/>
    <w:rsid w:val="0071591E"/>
    <w:rsid w:val="00715F12"/>
    <w:rsid w:val="00716092"/>
    <w:rsid w:val="0071654D"/>
    <w:rsid w:val="007165A4"/>
    <w:rsid w:val="00716DCA"/>
    <w:rsid w:val="007170AE"/>
    <w:rsid w:val="007173F9"/>
    <w:rsid w:val="00717A89"/>
    <w:rsid w:val="00720293"/>
    <w:rsid w:val="00720AAD"/>
    <w:rsid w:val="00721C77"/>
    <w:rsid w:val="00721E96"/>
    <w:rsid w:val="00722805"/>
    <w:rsid w:val="007229B5"/>
    <w:rsid w:val="00722B91"/>
    <w:rsid w:val="00722EF6"/>
    <w:rsid w:val="007231AD"/>
    <w:rsid w:val="00723C6F"/>
    <w:rsid w:val="007241FF"/>
    <w:rsid w:val="007246E2"/>
    <w:rsid w:val="00725D60"/>
    <w:rsid w:val="007263A1"/>
    <w:rsid w:val="007264E0"/>
    <w:rsid w:val="00726AA6"/>
    <w:rsid w:val="00726D38"/>
    <w:rsid w:val="00726D74"/>
    <w:rsid w:val="00727135"/>
    <w:rsid w:val="007271BA"/>
    <w:rsid w:val="00727797"/>
    <w:rsid w:val="007306E4"/>
    <w:rsid w:val="007309C8"/>
    <w:rsid w:val="00730A3C"/>
    <w:rsid w:val="00730E95"/>
    <w:rsid w:val="0073112F"/>
    <w:rsid w:val="007318D4"/>
    <w:rsid w:val="00732975"/>
    <w:rsid w:val="007329D4"/>
    <w:rsid w:val="007334FE"/>
    <w:rsid w:val="007336EF"/>
    <w:rsid w:val="00733AF3"/>
    <w:rsid w:val="00733C86"/>
    <w:rsid w:val="00733F79"/>
    <w:rsid w:val="007340B4"/>
    <w:rsid w:val="00734386"/>
    <w:rsid w:val="00734A5A"/>
    <w:rsid w:val="00735336"/>
    <w:rsid w:val="00735675"/>
    <w:rsid w:val="00736349"/>
    <w:rsid w:val="007366D4"/>
    <w:rsid w:val="00737200"/>
    <w:rsid w:val="0073796D"/>
    <w:rsid w:val="00737F8A"/>
    <w:rsid w:val="0074001F"/>
    <w:rsid w:val="00740568"/>
    <w:rsid w:val="0074132E"/>
    <w:rsid w:val="00742AA2"/>
    <w:rsid w:val="00742F91"/>
    <w:rsid w:val="00744335"/>
    <w:rsid w:val="00744BBA"/>
    <w:rsid w:val="00744E40"/>
    <w:rsid w:val="007450A9"/>
    <w:rsid w:val="007454A5"/>
    <w:rsid w:val="0074574F"/>
    <w:rsid w:val="00745C4A"/>
    <w:rsid w:val="007469F5"/>
    <w:rsid w:val="00746B52"/>
    <w:rsid w:val="00746D07"/>
    <w:rsid w:val="0074798B"/>
    <w:rsid w:val="007504A7"/>
    <w:rsid w:val="00750A1B"/>
    <w:rsid w:val="00750A96"/>
    <w:rsid w:val="0075101E"/>
    <w:rsid w:val="00752090"/>
    <w:rsid w:val="00752667"/>
    <w:rsid w:val="00753159"/>
    <w:rsid w:val="00754082"/>
    <w:rsid w:val="00754984"/>
    <w:rsid w:val="00754EBE"/>
    <w:rsid w:val="00755118"/>
    <w:rsid w:val="00755391"/>
    <w:rsid w:val="00755413"/>
    <w:rsid w:val="0075566D"/>
    <w:rsid w:val="00755B3D"/>
    <w:rsid w:val="00755C16"/>
    <w:rsid w:val="00755E3E"/>
    <w:rsid w:val="007562A2"/>
    <w:rsid w:val="00756A7C"/>
    <w:rsid w:val="00756D69"/>
    <w:rsid w:val="00757156"/>
    <w:rsid w:val="007576FD"/>
    <w:rsid w:val="00757810"/>
    <w:rsid w:val="007579A8"/>
    <w:rsid w:val="00757E72"/>
    <w:rsid w:val="007608B9"/>
    <w:rsid w:val="00760FCD"/>
    <w:rsid w:val="0076116F"/>
    <w:rsid w:val="00761A2C"/>
    <w:rsid w:val="00761EC6"/>
    <w:rsid w:val="007621EC"/>
    <w:rsid w:val="00762EEE"/>
    <w:rsid w:val="00764838"/>
    <w:rsid w:val="00766901"/>
    <w:rsid w:val="00766DA6"/>
    <w:rsid w:val="0076708D"/>
    <w:rsid w:val="007672A6"/>
    <w:rsid w:val="00767A16"/>
    <w:rsid w:val="00767A38"/>
    <w:rsid w:val="00767BE1"/>
    <w:rsid w:val="00770359"/>
    <w:rsid w:val="0077064C"/>
    <w:rsid w:val="00770ED1"/>
    <w:rsid w:val="00771475"/>
    <w:rsid w:val="007717FE"/>
    <w:rsid w:val="00771B73"/>
    <w:rsid w:val="00771CB7"/>
    <w:rsid w:val="0077262A"/>
    <w:rsid w:val="00772B82"/>
    <w:rsid w:val="00772E33"/>
    <w:rsid w:val="007738B8"/>
    <w:rsid w:val="00773D63"/>
    <w:rsid w:val="00773D8E"/>
    <w:rsid w:val="00773E1C"/>
    <w:rsid w:val="00774C95"/>
    <w:rsid w:val="00774ECF"/>
    <w:rsid w:val="00775294"/>
    <w:rsid w:val="00775BE6"/>
    <w:rsid w:val="00775E4A"/>
    <w:rsid w:val="00775FEF"/>
    <w:rsid w:val="00777D51"/>
    <w:rsid w:val="00777F04"/>
    <w:rsid w:val="007809CA"/>
    <w:rsid w:val="00780E01"/>
    <w:rsid w:val="007815BA"/>
    <w:rsid w:val="00781AF6"/>
    <w:rsid w:val="00782744"/>
    <w:rsid w:val="007829DB"/>
    <w:rsid w:val="00782E20"/>
    <w:rsid w:val="007835EB"/>
    <w:rsid w:val="00783704"/>
    <w:rsid w:val="007849EA"/>
    <w:rsid w:val="00785CC4"/>
    <w:rsid w:val="0078657A"/>
    <w:rsid w:val="007865CE"/>
    <w:rsid w:val="0078666D"/>
    <w:rsid w:val="00790568"/>
    <w:rsid w:val="007906D3"/>
    <w:rsid w:val="0079123D"/>
    <w:rsid w:val="0079264C"/>
    <w:rsid w:val="00792DD9"/>
    <w:rsid w:val="00792E7E"/>
    <w:rsid w:val="0079359C"/>
    <w:rsid w:val="00794B6D"/>
    <w:rsid w:val="00794CE3"/>
    <w:rsid w:val="00795DBE"/>
    <w:rsid w:val="0079637D"/>
    <w:rsid w:val="00796549"/>
    <w:rsid w:val="0079760D"/>
    <w:rsid w:val="007A1880"/>
    <w:rsid w:val="007A1AE2"/>
    <w:rsid w:val="007A24C6"/>
    <w:rsid w:val="007A2FC6"/>
    <w:rsid w:val="007A31AE"/>
    <w:rsid w:val="007A36A6"/>
    <w:rsid w:val="007A3779"/>
    <w:rsid w:val="007A3BB2"/>
    <w:rsid w:val="007A3D0F"/>
    <w:rsid w:val="007A4D32"/>
    <w:rsid w:val="007A5F6B"/>
    <w:rsid w:val="007A6707"/>
    <w:rsid w:val="007B03C5"/>
    <w:rsid w:val="007B08A3"/>
    <w:rsid w:val="007B5088"/>
    <w:rsid w:val="007B589E"/>
    <w:rsid w:val="007B5A57"/>
    <w:rsid w:val="007B626E"/>
    <w:rsid w:val="007B67D9"/>
    <w:rsid w:val="007B68A4"/>
    <w:rsid w:val="007B7205"/>
    <w:rsid w:val="007B740E"/>
    <w:rsid w:val="007B74B0"/>
    <w:rsid w:val="007C05A8"/>
    <w:rsid w:val="007C08E9"/>
    <w:rsid w:val="007C1093"/>
    <w:rsid w:val="007C1579"/>
    <w:rsid w:val="007C25FE"/>
    <w:rsid w:val="007C277E"/>
    <w:rsid w:val="007C2ACB"/>
    <w:rsid w:val="007C2AFA"/>
    <w:rsid w:val="007C3047"/>
    <w:rsid w:val="007C352D"/>
    <w:rsid w:val="007C3D12"/>
    <w:rsid w:val="007C4F0C"/>
    <w:rsid w:val="007C59A7"/>
    <w:rsid w:val="007C5BF2"/>
    <w:rsid w:val="007C5E6A"/>
    <w:rsid w:val="007C600A"/>
    <w:rsid w:val="007C619A"/>
    <w:rsid w:val="007C669D"/>
    <w:rsid w:val="007C68CB"/>
    <w:rsid w:val="007C7064"/>
    <w:rsid w:val="007C7711"/>
    <w:rsid w:val="007C7731"/>
    <w:rsid w:val="007C78CD"/>
    <w:rsid w:val="007C7EC0"/>
    <w:rsid w:val="007D0DDD"/>
    <w:rsid w:val="007D1AF5"/>
    <w:rsid w:val="007D2945"/>
    <w:rsid w:val="007D2BA0"/>
    <w:rsid w:val="007D2E18"/>
    <w:rsid w:val="007D2E7D"/>
    <w:rsid w:val="007D2FFA"/>
    <w:rsid w:val="007D3261"/>
    <w:rsid w:val="007D3654"/>
    <w:rsid w:val="007D3675"/>
    <w:rsid w:val="007D40A7"/>
    <w:rsid w:val="007D4428"/>
    <w:rsid w:val="007D4BC4"/>
    <w:rsid w:val="007D4ED4"/>
    <w:rsid w:val="007D5255"/>
    <w:rsid w:val="007D5867"/>
    <w:rsid w:val="007D5B32"/>
    <w:rsid w:val="007D64B9"/>
    <w:rsid w:val="007D6A3C"/>
    <w:rsid w:val="007D732C"/>
    <w:rsid w:val="007D73A9"/>
    <w:rsid w:val="007E08D7"/>
    <w:rsid w:val="007E132B"/>
    <w:rsid w:val="007E18AF"/>
    <w:rsid w:val="007E1E5F"/>
    <w:rsid w:val="007E28ED"/>
    <w:rsid w:val="007E2A5C"/>
    <w:rsid w:val="007E3010"/>
    <w:rsid w:val="007E3B81"/>
    <w:rsid w:val="007E5502"/>
    <w:rsid w:val="007E663F"/>
    <w:rsid w:val="007E6EE2"/>
    <w:rsid w:val="007E7077"/>
    <w:rsid w:val="007E7316"/>
    <w:rsid w:val="007E7397"/>
    <w:rsid w:val="007F04B5"/>
    <w:rsid w:val="007F04D5"/>
    <w:rsid w:val="007F09F2"/>
    <w:rsid w:val="007F0DCE"/>
    <w:rsid w:val="007F1041"/>
    <w:rsid w:val="007F1B12"/>
    <w:rsid w:val="007F2106"/>
    <w:rsid w:val="007F260E"/>
    <w:rsid w:val="007F2909"/>
    <w:rsid w:val="007F2AC3"/>
    <w:rsid w:val="007F33AA"/>
    <w:rsid w:val="007F43B8"/>
    <w:rsid w:val="007F4779"/>
    <w:rsid w:val="007F5141"/>
    <w:rsid w:val="007F6466"/>
    <w:rsid w:val="007F7479"/>
    <w:rsid w:val="007F7CF4"/>
    <w:rsid w:val="008004E3"/>
    <w:rsid w:val="00800ABB"/>
    <w:rsid w:val="008014A5"/>
    <w:rsid w:val="008015E5"/>
    <w:rsid w:val="00801AFE"/>
    <w:rsid w:val="00801F38"/>
    <w:rsid w:val="00802137"/>
    <w:rsid w:val="008026D2"/>
    <w:rsid w:val="008028A5"/>
    <w:rsid w:val="00803B98"/>
    <w:rsid w:val="008058BF"/>
    <w:rsid w:val="00805F80"/>
    <w:rsid w:val="00806021"/>
    <w:rsid w:val="008061BE"/>
    <w:rsid w:val="008065B6"/>
    <w:rsid w:val="008065C0"/>
    <w:rsid w:val="0080725F"/>
    <w:rsid w:val="0080745B"/>
    <w:rsid w:val="008079FB"/>
    <w:rsid w:val="00807A25"/>
    <w:rsid w:val="008104F9"/>
    <w:rsid w:val="008107FE"/>
    <w:rsid w:val="00810C4D"/>
    <w:rsid w:val="00810E74"/>
    <w:rsid w:val="00810F55"/>
    <w:rsid w:val="00811B6B"/>
    <w:rsid w:val="00812587"/>
    <w:rsid w:val="008127D6"/>
    <w:rsid w:val="008127DC"/>
    <w:rsid w:val="00812D12"/>
    <w:rsid w:val="00814DCA"/>
    <w:rsid w:val="00814F12"/>
    <w:rsid w:val="0081535F"/>
    <w:rsid w:val="008153FA"/>
    <w:rsid w:val="00815D83"/>
    <w:rsid w:val="00816487"/>
    <w:rsid w:val="008164F1"/>
    <w:rsid w:val="00816EA9"/>
    <w:rsid w:val="00817440"/>
    <w:rsid w:val="008176FA"/>
    <w:rsid w:val="00817FD5"/>
    <w:rsid w:val="00820109"/>
    <w:rsid w:val="0082086D"/>
    <w:rsid w:val="0082092C"/>
    <w:rsid w:val="00820C42"/>
    <w:rsid w:val="00820F27"/>
    <w:rsid w:val="00821BD3"/>
    <w:rsid w:val="00821D76"/>
    <w:rsid w:val="00822103"/>
    <w:rsid w:val="00822401"/>
    <w:rsid w:val="00822EC9"/>
    <w:rsid w:val="0082306C"/>
    <w:rsid w:val="008230D6"/>
    <w:rsid w:val="008235E6"/>
    <w:rsid w:val="00823B9E"/>
    <w:rsid w:val="00824685"/>
    <w:rsid w:val="008259B1"/>
    <w:rsid w:val="00825B24"/>
    <w:rsid w:val="008269DA"/>
    <w:rsid w:val="00826B42"/>
    <w:rsid w:val="00826BF6"/>
    <w:rsid w:val="00827192"/>
    <w:rsid w:val="0082797C"/>
    <w:rsid w:val="008308EE"/>
    <w:rsid w:val="008316ED"/>
    <w:rsid w:val="00831E9D"/>
    <w:rsid w:val="00832EFB"/>
    <w:rsid w:val="008331DD"/>
    <w:rsid w:val="00833757"/>
    <w:rsid w:val="00833DB0"/>
    <w:rsid w:val="0083489E"/>
    <w:rsid w:val="00834D54"/>
    <w:rsid w:val="00835118"/>
    <w:rsid w:val="00836236"/>
    <w:rsid w:val="008364F8"/>
    <w:rsid w:val="00836662"/>
    <w:rsid w:val="00836E49"/>
    <w:rsid w:val="00836ED9"/>
    <w:rsid w:val="00837126"/>
    <w:rsid w:val="008375BB"/>
    <w:rsid w:val="0083798D"/>
    <w:rsid w:val="0084021A"/>
    <w:rsid w:val="00840AF9"/>
    <w:rsid w:val="00840B33"/>
    <w:rsid w:val="008426DD"/>
    <w:rsid w:val="0084355A"/>
    <w:rsid w:val="0084381A"/>
    <w:rsid w:val="00843CD9"/>
    <w:rsid w:val="0084408A"/>
    <w:rsid w:val="00844865"/>
    <w:rsid w:val="00844AF0"/>
    <w:rsid w:val="00844E56"/>
    <w:rsid w:val="0084544F"/>
    <w:rsid w:val="00846752"/>
    <w:rsid w:val="008467B9"/>
    <w:rsid w:val="00846D99"/>
    <w:rsid w:val="0084770C"/>
    <w:rsid w:val="008477EC"/>
    <w:rsid w:val="008478CC"/>
    <w:rsid w:val="008501FE"/>
    <w:rsid w:val="00850998"/>
    <w:rsid w:val="00850C90"/>
    <w:rsid w:val="00850FB7"/>
    <w:rsid w:val="00851B78"/>
    <w:rsid w:val="00852E48"/>
    <w:rsid w:val="00853427"/>
    <w:rsid w:val="008536B8"/>
    <w:rsid w:val="00853B51"/>
    <w:rsid w:val="0085453C"/>
    <w:rsid w:val="00855100"/>
    <w:rsid w:val="008554C9"/>
    <w:rsid w:val="008555FE"/>
    <w:rsid w:val="0085597D"/>
    <w:rsid w:val="008563E3"/>
    <w:rsid w:val="008568E1"/>
    <w:rsid w:val="008569E0"/>
    <w:rsid w:val="00857273"/>
    <w:rsid w:val="008572C9"/>
    <w:rsid w:val="0085755B"/>
    <w:rsid w:val="00857737"/>
    <w:rsid w:val="00857FED"/>
    <w:rsid w:val="00860BF3"/>
    <w:rsid w:val="00861056"/>
    <w:rsid w:val="00861744"/>
    <w:rsid w:val="00862320"/>
    <w:rsid w:val="00862502"/>
    <w:rsid w:val="008625BE"/>
    <w:rsid w:val="00863134"/>
    <w:rsid w:val="008636D6"/>
    <w:rsid w:val="00863A4C"/>
    <w:rsid w:val="00863E18"/>
    <w:rsid w:val="008641FE"/>
    <w:rsid w:val="008643D5"/>
    <w:rsid w:val="00864614"/>
    <w:rsid w:val="00864844"/>
    <w:rsid w:val="008649B0"/>
    <w:rsid w:val="00864CD3"/>
    <w:rsid w:val="00864FC6"/>
    <w:rsid w:val="008658E9"/>
    <w:rsid w:val="00865D8F"/>
    <w:rsid w:val="00866F5F"/>
    <w:rsid w:val="00866FAC"/>
    <w:rsid w:val="008674C5"/>
    <w:rsid w:val="008675A2"/>
    <w:rsid w:val="00867DA5"/>
    <w:rsid w:val="00870578"/>
    <w:rsid w:val="008714E4"/>
    <w:rsid w:val="00871B06"/>
    <w:rsid w:val="0087204F"/>
    <w:rsid w:val="0087269D"/>
    <w:rsid w:val="00872AE9"/>
    <w:rsid w:val="0087307A"/>
    <w:rsid w:val="008737D5"/>
    <w:rsid w:val="0087386F"/>
    <w:rsid w:val="00873A51"/>
    <w:rsid w:val="00873F0B"/>
    <w:rsid w:val="008745FE"/>
    <w:rsid w:val="00875BB4"/>
    <w:rsid w:val="00875CC3"/>
    <w:rsid w:val="00875FBF"/>
    <w:rsid w:val="00876167"/>
    <w:rsid w:val="008761A9"/>
    <w:rsid w:val="00876B12"/>
    <w:rsid w:val="00876E66"/>
    <w:rsid w:val="00881B81"/>
    <w:rsid w:val="0088235F"/>
    <w:rsid w:val="00882788"/>
    <w:rsid w:val="00885042"/>
    <w:rsid w:val="00885141"/>
    <w:rsid w:val="00885D72"/>
    <w:rsid w:val="008864B0"/>
    <w:rsid w:val="00887291"/>
    <w:rsid w:val="00887630"/>
    <w:rsid w:val="00887CD9"/>
    <w:rsid w:val="00890014"/>
    <w:rsid w:val="008909C9"/>
    <w:rsid w:val="0089120B"/>
    <w:rsid w:val="008913E7"/>
    <w:rsid w:val="00891B18"/>
    <w:rsid w:val="00891B61"/>
    <w:rsid w:val="00891D22"/>
    <w:rsid w:val="00892590"/>
    <w:rsid w:val="00892706"/>
    <w:rsid w:val="008960C2"/>
    <w:rsid w:val="0089648F"/>
    <w:rsid w:val="00896A2A"/>
    <w:rsid w:val="00896E59"/>
    <w:rsid w:val="00897D10"/>
    <w:rsid w:val="008A0D34"/>
    <w:rsid w:val="008A0E45"/>
    <w:rsid w:val="008A1076"/>
    <w:rsid w:val="008A1826"/>
    <w:rsid w:val="008A19FF"/>
    <w:rsid w:val="008A24CC"/>
    <w:rsid w:val="008A2B5A"/>
    <w:rsid w:val="008A2DD3"/>
    <w:rsid w:val="008A2E9E"/>
    <w:rsid w:val="008A3825"/>
    <w:rsid w:val="008A3AF1"/>
    <w:rsid w:val="008A3E55"/>
    <w:rsid w:val="008A3F06"/>
    <w:rsid w:val="008A403A"/>
    <w:rsid w:val="008A442D"/>
    <w:rsid w:val="008A45E5"/>
    <w:rsid w:val="008A59BD"/>
    <w:rsid w:val="008A5A3B"/>
    <w:rsid w:val="008A7181"/>
    <w:rsid w:val="008A725C"/>
    <w:rsid w:val="008A7AB5"/>
    <w:rsid w:val="008B0354"/>
    <w:rsid w:val="008B03D9"/>
    <w:rsid w:val="008B0F65"/>
    <w:rsid w:val="008B175E"/>
    <w:rsid w:val="008B19B6"/>
    <w:rsid w:val="008B1CA8"/>
    <w:rsid w:val="008B1F49"/>
    <w:rsid w:val="008B2136"/>
    <w:rsid w:val="008B22C0"/>
    <w:rsid w:val="008B26DB"/>
    <w:rsid w:val="008B2B0B"/>
    <w:rsid w:val="008B2E1D"/>
    <w:rsid w:val="008B30CC"/>
    <w:rsid w:val="008B33F0"/>
    <w:rsid w:val="008B3ADB"/>
    <w:rsid w:val="008B3EE6"/>
    <w:rsid w:val="008B4A7F"/>
    <w:rsid w:val="008B4C15"/>
    <w:rsid w:val="008B4D38"/>
    <w:rsid w:val="008B5F7E"/>
    <w:rsid w:val="008B61E0"/>
    <w:rsid w:val="008B62D8"/>
    <w:rsid w:val="008B63C1"/>
    <w:rsid w:val="008B6B47"/>
    <w:rsid w:val="008B6F5A"/>
    <w:rsid w:val="008B6FAD"/>
    <w:rsid w:val="008B7287"/>
    <w:rsid w:val="008C0725"/>
    <w:rsid w:val="008C0C44"/>
    <w:rsid w:val="008C0E9B"/>
    <w:rsid w:val="008C1C67"/>
    <w:rsid w:val="008C2401"/>
    <w:rsid w:val="008C2D3C"/>
    <w:rsid w:val="008C3DCE"/>
    <w:rsid w:val="008C41F8"/>
    <w:rsid w:val="008C4289"/>
    <w:rsid w:val="008C6061"/>
    <w:rsid w:val="008C6289"/>
    <w:rsid w:val="008C65DE"/>
    <w:rsid w:val="008C68CF"/>
    <w:rsid w:val="008C705F"/>
    <w:rsid w:val="008C7890"/>
    <w:rsid w:val="008C789F"/>
    <w:rsid w:val="008C7C2E"/>
    <w:rsid w:val="008D0046"/>
    <w:rsid w:val="008D0484"/>
    <w:rsid w:val="008D05E2"/>
    <w:rsid w:val="008D060F"/>
    <w:rsid w:val="008D071E"/>
    <w:rsid w:val="008D0ABC"/>
    <w:rsid w:val="008D0E70"/>
    <w:rsid w:val="008D0EA3"/>
    <w:rsid w:val="008D0FCA"/>
    <w:rsid w:val="008D125D"/>
    <w:rsid w:val="008D1312"/>
    <w:rsid w:val="008D1DD0"/>
    <w:rsid w:val="008D21A6"/>
    <w:rsid w:val="008D2248"/>
    <w:rsid w:val="008D2963"/>
    <w:rsid w:val="008D2C52"/>
    <w:rsid w:val="008D3171"/>
    <w:rsid w:val="008D3C38"/>
    <w:rsid w:val="008D3D32"/>
    <w:rsid w:val="008D3F4C"/>
    <w:rsid w:val="008D4237"/>
    <w:rsid w:val="008D44AE"/>
    <w:rsid w:val="008D4621"/>
    <w:rsid w:val="008D490B"/>
    <w:rsid w:val="008D4AC1"/>
    <w:rsid w:val="008D4B2E"/>
    <w:rsid w:val="008D4C99"/>
    <w:rsid w:val="008D4DCD"/>
    <w:rsid w:val="008D521C"/>
    <w:rsid w:val="008D57BF"/>
    <w:rsid w:val="008D5DE0"/>
    <w:rsid w:val="008D62D4"/>
    <w:rsid w:val="008D63C2"/>
    <w:rsid w:val="008D672E"/>
    <w:rsid w:val="008D6E64"/>
    <w:rsid w:val="008D725A"/>
    <w:rsid w:val="008D7923"/>
    <w:rsid w:val="008E008B"/>
    <w:rsid w:val="008E19AD"/>
    <w:rsid w:val="008E1B97"/>
    <w:rsid w:val="008E1F32"/>
    <w:rsid w:val="008E2C1E"/>
    <w:rsid w:val="008E2FA2"/>
    <w:rsid w:val="008E3744"/>
    <w:rsid w:val="008E3D96"/>
    <w:rsid w:val="008E3EA4"/>
    <w:rsid w:val="008E3F96"/>
    <w:rsid w:val="008E421E"/>
    <w:rsid w:val="008E473B"/>
    <w:rsid w:val="008E54D8"/>
    <w:rsid w:val="008E638E"/>
    <w:rsid w:val="008E64A9"/>
    <w:rsid w:val="008E68B7"/>
    <w:rsid w:val="008E78AB"/>
    <w:rsid w:val="008F0670"/>
    <w:rsid w:val="008F0C98"/>
    <w:rsid w:val="008F103D"/>
    <w:rsid w:val="008F172A"/>
    <w:rsid w:val="008F1B07"/>
    <w:rsid w:val="008F1E3C"/>
    <w:rsid w:val="008F2E1C"/>
    <w:rsid w:val="008F309A"/>
    <w:rsid w:val="008F3A5F"/>
    <w:rsid w:val="008F3DD8"/>
    <w:rsid w:val="008F4B1A"/>
    <w:rsid w:val="008F4CE5"/>
    <w:rsid w:val="008F4F5E"/>
    <w:rsid w:val="008F58A9"/>
    <w:rsid w:val="008F5B04"/>
    <w:rsid w:val="008F61DD"/>
    <w:rsid w:val="008F635A"/>
    <w:rsid w:val="008F6734"/>
    <w:rsid w:val="008F6A96"/>
    <w:rsid w:val="0090066C"/>
    <w:rsid w:val="0090071C"/>
    <w:rsid w:val="00900A61"/>
    <w:rsid w:val="00900E5F"/>
    <w:rsid w:val="00901416"/>
    <w:rsid w:val="00901B6D"/>
    <w:rsid w:val="00901FC9"/>
    <w:rsid w:val="00903231"/>
    <w:rsid w:val="0090348A"/>
    <w:rsid w:val="0090354F"/>
    <w:rsid w:val="0090362D"/>
    <w:rsid w:val="00903702"/>
    <w:rsid w:val="00903D5B"/>
    <w:rsid w:val="00903EB2"/>
    <w:rsid w:val="0090402B"/>
    <w:rsid w:val="00904057"/>
    <w:rsid w:val="009043DA"/>
    <w:rsid w:val="009045A7"/>
    <w:rsid w:val="00904FD8"/>
    <w:rsid w:val="009053E5"/>
    <w:rsid w:val="00905C6A"/>
    <w:rsid w:val="00906A14"/>
    <w:rsid w:val="00907185"/>
    <w:rsid w:val="009074D6"/>
    <w:rsid w:val="00907FF0"/>
    <w:rsid w:val="00910DD6"/>
    <w:rsid w:val="00910FAE"/>
    <w:rsid w:val="009113F0"/>
    <w:rsid w:val="009129A6"/>
    <w:rsid w:val="0091309A"/>
    <w:rsid w:val="0091332F"/>
    <w:rsid w:val="0091364A"/>
    <w:rsid w:val="0091476D"/>
    <w:rsid w:val="00914AD1"/>
    <w:rsid w:val="0091536B"/>
    <w:rsid w:val="009153D9"/>
    <w:rsid w:val="009155BA"/>
    <w:rsid w:val="00916252"/>
    <w:rsid w:val="0091715D"/>
    <w:rsid w:val="009175A6"/>
    <w:rsid w:val="00920BBE"/>
    <w:rsid w:val="00921494"/>
    <w:rsid w:val="009218F9"/>
    <w:rsid w:val="00922411"/>
    <w:rsid w:val="009227DC"/>
    <w:rsid w:val="00922ACB"/>
    <w:rsid w:val="0092516F"/>
    <w:rsid w:val="00925C02"/>
    <w:rsid w:val="00926BCB"/>
    <w:rsid w:val="00926DB1"/>
    <w:rsid w:val="0092766D"/>
    <w:rsid w:val="0093009D"/>
    <w:rsid w:val="00930171"/>
    <w:rsid w:val="00930653"/>
    <w:rsid w:val="009308CD"/>
    <w:rsid w:val="009313FB"/>
    <w:rsid w:val="00931E28"/>
    <w:rsid w:val="00932CC2"/>
    <w:rsid w:val="00932FE8"/>
    <w:rsid w:val="0093365A"/>
    <w:rsid w:val="0093372B"/>
    <w:rsid w:val="00933C67"/>
    <w:rsid w:val="00934F18"/>
    <w:rsid w:val="00935910"/>
    <w:rsid w:val="00935A2B"/>
    <w:rsid w:val="00935B16"/>
    <w:rsid w:val="009364CE"/>
    <w:rsid w:val="009375F9"/>
    <w:rsid w:val="009378EB"/>
    <w:rsid w:val="00937D65"/>
    <w:rsid w:val="009406FF"/>
    <w:rsid w:val="00940801"/>
    <w:rsid w:val="009409C1"/>
    <w:rsid w:val="00940FF5"/>
    <w:rsid w:val="00941E47"/>
    <w:rsid w:val="0094270A"/>
    <w:rsid w:val="009448E7"/>
    <w:rsid w:val="009453C2"/>
    <w:rsid w:val="0094545A"/>
    <w:rsid w:val="009455B1"/>
    <w:rsid w:val="00945743"/>
    <w:rsid w:val="00945A05"/>
    <w:rsid w:val="00945AAC"/>
    <w:rsid w:val="00945F16"/>
    <w:rsid w:val="009465F8"/>
    <w:rsid w:val="00946C6C"/>
    <w:rsid w:val="00947741"/>
    <w:rsid w:val="009478CF"/>
    <w:rsid w:val="00947910"/>
    <w:rsid w:val="00950C0E"/>
    <w:rsid w:val="009512FA"/>
    <w:rsid w:val="00951434"/>
    <w:rsid w:val="00951FA7"/>
    <w:rsid w:val="009520D7"/>
    <w:rsid w:val="009520DD"/>
    <w:rsid w:val="0095210E"/>
    <w:rsid w:val="00952115"/>
    <w:rsid w:val="00952694"/>
    <w:rsid w:val="00952F45"/>
    <w:rsid w:val="0095349C"/>
    <w:rsid w:val="00953506"/>
    <w:rsid w:val="00953E60"/>
    <w:rsid w:val="00954D1C"/>
    <w:rsid w:val="00954EF7"/>
    <w:rsid w:val="00955522"/>
    <w:rsid w:val="00955BCE"/>
    <w:rsid w:val="00955E97"/>
    <w:rsid w:val="0095616F"/>
    <w:rsid w:val="0095653B"/>
    <w:rsid w:val="00956ED2"/>
    <w:rsid w:val="0095732E"/>
    <w:rsid w:val="009601AE"/>
    <w:rsid w:val="009616E1"/>
    <w:rsid w:val="0096176D"/>
    <w:rsid w:val="00962085"/>
    <w:rsid w:val="00962164"/>
    <w:rsid w:val="00962393"/>
    <w:rsid w:val="00962CB6"/>
    <w:rsid w:val="009634F5"/>
    <w:rsid w:val="009635AD"/>
    <w:rsid w:val="00963732"/>
    <w:rsid w:val="00964391"/>
    <w:rsid w:val="00964E07"/>
    <w:rsid w:val="00965A7B"/>
    <w:rsid w:val="00965B8E"/>
    <w:rsid w:val="00965FCF"/>
    <w:rsid w:val="00966686"/>
    <w:rsid w:val="0096691B"/>
    <w:rsid w:val="00966FF9"/>
    <w:rsid w:val="009673FA"/>
    <w:rsid w:val="00967467"/>
    <w:rsid w:val="00967753"/>
    <w:rsid w:val="00970ABC"/>
    <w:rsid w:val="00970D86"/>
    <w:rsid w:val="009710C5"/>
    <w:rsid w:val="00972266"/>
    <w:rsid w:val="0097250B"/>
    <w:rsid w:val="00973A5E"/>
    <w:rsid w:val="00973C54"/>
    <w:rsid w:val="00973D48"/>
    <w:rsid w:val="009744AA"/>
    <w:rsid w:val="00974EA7"/>
    <w:rsid w:val="0097616B"/>
    <w:rsid w:val="00976D6A"/>
    <w:rsid w:val="00977048"/>
    <w:rsid w:val="00977B0D"/>
    <w:rsid w:val="00980415"/>
    <w:rsid w:val="00980F44"/>
    <w:rsid w:val="009819CD"/>
    <w:rsid w:val="0098220C"/>
    <w:rsid w:val="0098276A"/>
    <w:rsid w:val="00983088"/>
    <w:rsid w:val="009838BD"/>
    <w:rsid w:val="00984ABC"/>
    <w:rsid w:val="009859E6"/>
    <w:rsid w:val="00985CCB"/>
    <w:rsid w:val="00985D02"/>
    <w:rsid w:val="00985E43"/>
    <w:rsid w:val="00986290"/>
    <w:rsid w:val="009862F5"/>
    <w:rsid w:val="0098633F"/>
    <w:rsid w:val="0098661B"/>
    <w:rsid w:val="0098661D"/>
    <w:rsid w:val="009868EF"/>
    <w:rsid w:val="009874D5"/>
    <w:rsid w:val="009901F4"/>
    <w:rsid w:val="009910C9"/>
    <w:rsid w:val="0099210F"/>
    <w:rsid w:val="009922EC"/>
    <w:rsid w:val="009926B9"/>
    <w:rsid w:val="00992A78"/>
    <w:rsid w:val="00992AED"/>
    <w:rsid w:val="00992D01"/>
    <w:rsid w:val="00994266"/>
    <w:rsid w:val="009942F0"/>
    <w:rsid w:val="00994516"/>
    <w:rsid w:val="00995EF0"/>
    <w:rsid w:val="00996A17"/>
    <w:rsid w:val="00996C39"/>
    <w:rsid w:val="009971F3"/>
    <w:rsid w:val="0099785F"/>
    <w:rsid w:val="009978C9"/>
    <w:rsid w:val="0099790C"/>
    <w:rsid w:val="00997A79"/>
    <w:rsid w:val="00997C23"/>
    <w:rsid w:val="009A1F5B"/>
    <w:rsid w:val="009A293D"/>
    <w:rsid w:val="009A2E3B"/>
    <w:rsid w:val="009A2E72"/>
    <w:rsid w:val="009A2EC7"/>
    <w:rsid w:val="009A2FC4"/>
    <w:rsid w:val="009A3166"/>
    <w:rsid w:val="009A3176"/>
    <w:rsid w:val="009A3FA7"/>
    <w:rsid w:val="009A504C"/>
    <w:rsid w:val="009A509D"/>
    <w:rsid w:val="009A522F"/>
    <w:rsid w:val="009A5293"/>
    <w:rsid w:val="009A5501"/>
    <w:rsid w:val="009A5F8C"/>
    <w:rsid w:val="009A6C79"/>
    <w:rsid w:val="009A7003"/>
    <w:rsid w:val="009A7189"/>
    <w:rsid w:val="009A7388"/>
    <w:rsid w:val="009A7A0E"/>
    <w:rsid w:val="009A7A28"/>
    <w:rsid w:val="009A7C6A"/>
    <w:rsid w:val="009A7C95"/>
    <w:rsid w:val="009B0DAA"/>
    <w:rsid w:val="009B121E"/>
    <w:rsid w:val="009B1B36"/>
    <w:rsid w:val="009B2A1E"/>
    <w:rsid w:val="009B2D45"/>
    <w:rsid w:val="009B337C"/>
    <w:rsid w:val="009B33AB"/>
    <w:rsid w:val="009B3C7F"/>
    <w:rsid w:val="009B4E5C"/>
    <w:rsid w:val="009B5787"/>
    <w:rsid w:val="009B5A17"/>
    <w:rsid w:val="009B6238"/>
    <w:rsid w:val="009B6764"/>
    <w:rsid w:val="009B694A"/>
    <w:rsid w:val="009B7CF5"/>
    <w:rsid w:val="009C18E5"/>
    <w:rsid w:val="009C1CE1"/>
    <w:rsid w:val="009C1EF9"/>
    <w:rsid w:val="009C1F9D"/>
    <w:rsid w:val="009C218F"/>
    <w:rsid w:val="009C2BE0"/>
    <w:rsid w:val="009C36F1"/>
    <w:rsid w:val="009C39AD"/>
    <w:rsid w:val="009C3A4D"/>
    <w:rsid w:val="009C3B46"/>
    <w:rsid w:val="009C4206"/>
    <w:rsid w:val="009C4A3B"/>
    <w:rsid w:val="009C4BD4"/>
    <w:rsid w:val="009C4CDA"/>
    <w:rsid w:val="009C4FDB"/>
    <w:rsid w:val="009C51FC"/>
    <w:rsid w:val="009C5282"/>
    <w:rsid w:val="009C531D"/>
    <w:rsid w:val="009C6145"/>
    <w:rsid w:val="009C6AC9"/>
    <w:rsid w:val="009C6D26"/>
    <w:rsid w:val="009C6E24"/>
    <w:rsid w:val="009C7C9B"/>
    <w:rsid w:val="009C7CC6"/>
    <w:rsid w:val="009D0831"/>
    <w:rsid w:val="009D0895"/>
    <w:rsid w:val="009D0EC8"/>
    <w:rsid w:val="009D1196"/>
    <w:rsid w:val="009D1BBD"/>
    <w:rsid w:val="009D234C"/>
    <w:rsid w:val="009D40DE"/>
    <w:rsid w:val="009D438C"/>
    <w:rsid w:val="009D4948"/>
    <w:rsid w:val="009D4DE4"/>
    <w:rsid w:val="009D50A7"/>
    <w:rsid w:val="009D5330"/>
    <w:rsid w:val="009D5F8A"/>
    <w:rsid w:val="009D6143"/>
    <w:rsid w:val="009D6171"/>
    <w:rsid w:val="009D63D2"/>
    <w:rsid w:val="009D6484"/>
    <w:rsid w:val="009D6FCC"/>
    <w:rsid w:val="009D705A"/>
    <w:rsid w:val="009D709F"/>
    <w:rsid w:val="009D7B30"/>
    <w:rsid w:val="009E133D"/>
    <w:rsid w:val="009E155D"/>
    <w:rsid w:val="009E1B84"/>
    <w:rsid w:val="009E275E"/>
    <w:rsid w:val="009E28A8"/>
    <w:rsid w:val="009E2F0B"/>
    <w:rsid w:val="009E350B"/>
    <w:rsid w:val="009E3629"/>
    <w:rsid w:val="009E44F2"/>
    <w:rsid w:val="009E4AA6"/>
    <w:rsid w:val="009E4BD7"/>
    <w:rsid w:val="009E4E9F"/>
    <w:rsid w:val="009E5060"/>
    <w:rsid w:val="009E546D"/>
    <w:rsid w:val="009E5A22"/>
    <w:rsid w:val="009E5E77"/>
    <w:rsid w:val="009E6195"/>
    <w:rsid w:val="009E636F"/>
    <w:rsid w:val="009E68A0"/>
    <w:rsid w:val="009E6B2F"/>
    <w:rsid w:val="009E78AF"/>
    <w:rsid w:val="009E7C13"/>
    <w:rsid w:val="009F0A7D"/>
    <w:rsid w:val="009F0ADD"/>
    <w:rsid w:val="009F2220"/>
    <w:rsid w:val="009F29E7"/>
    <w:rsid w:val="009F3338"/>
    <w:rsid w:val="009F39FD"/>
    <w:rsid w:val="009F4245"/>
    <w:rsid w:val="009F4267"/>
    <w:rsid w:val="009F44E1"/>
    <w:rsid w:val="009F47B8"/>
    <w:rsid w:val="009F504B"/>
    <w:rsid w:val="009F58D1"/>
    <w:rsid w:val="009F66B3"/>
    <w:rsid w:val="009F6AD2"/>
    <w:rsid w:val="009F6F51"/>
    <w:rsid w:val="009F7F3C"/>
    <w:rsid w:val="009F7FB4"/>
    <w:rsid w:val="00A002DF"/>
    <w:rsid w:val="00A0048F"/>
    <w:rsid w:val="00A006AF"/>
    <w:rsid w:val="00A00778"/>
    <w:rsid w:val="00A00BBB"/>
    <w:rsid w:val="00A00FD8"/>
    <w:rsid w:val="00A010F7"/>
    <w:rsid w:val="00A01DE5"/>
    <w:rsid w:val="00A022BC"/>
    <w:rsid w:val="00A02995"/>
    <w:rsid w:val="00A02DC1"/>
    <w:rsid w:val="00A03560"/>
    <w:rsid w:val="00A03B73"/>
    <w:rsid w:val="00A04707"/>
    <w:rsid w:val="00A0486B"/>
    <w:rsid w:val="00A050A8"/>
    <w:rsid w:val="00A0564F"/>
    <w:rsid w:val="00A05C2B"/>
    <w:rsid w:val="00A05F91"/>
    <w:rsid w:val="00A061C7"/>
    <w:rsid w:val="00A073BC"/>
    <w:rsid w:val="00A0747A"/>
    <w:rsid w:val="00A07FFE"/>
    <w:rsid w:val="00A119CE"/>
    <w:rsid w:val="00A12087"/>
    <w:rsid w:val="00A1217C"/>
    <w:rsid w:val="00A123A1"/>
    <w:rsid w:val="00A12A9A"/>
    <w:rsid w:val="00A12B51"/>
    <w:rsid w:val="00A12EDD"/>
    <w:rsid w:val="00A1309C"/>
    <w:rsid w:val="00A13CE3"/>
    <w:rsid w:val="00A13DB0"/>
    <w:rsid w:val="00A14049"/>
    <w:rsid w:val="00A14D12"/>
    <w:rsid w:val="00A15414"/>
    <w:rsid w:val="00A15B40"/>
    <w:rsid w:val="00A169CA"/>
    <w:rsid w:val="00A1783F"/>
    <w:rsid w:val="00A200F8"/>
    <w:rsid w:val="00A20126"/>
    <w:rsid w:val="00A204C0"/>
    <w:rsid w:val="00A22124"/>
    <w:rsid w:val="00A221AE"/>
    <w:rsid w:val="00A222F6"/>
    <w:rsid w:val="00A22B37"/>
    <w:rsid w:val="00A22DBD"/>
    <w:rsid w:val="00A232BD"/>
    <w:rsid w:val="00A244A8"/>
    <w:rsid w:val="00A24F4B"/>
    <w:rsid w:val="00A2521C"/>
    <w:rsid w:val="00A25536"/>
    <w:rsid w:val="00A25998"/>
    <w:rsid w:val="00A25D8F"/>
    <w:rsid w:val="00A266F3"/>
    <w:rsid w:val="00A26B1C"/>
    <w:rsid w:val="00A270CB"/>
    <w:rsid w:val="00A27D30"/>
    <w:rsid w:val="00A27D94"/>
    <w:rsid w:val="00A30582"/>
    <w:rsid w:val="00A307D2"/>
    <w:rsid w:val="00A3157A"/>
    <w:rsid w:val="00A31A2D"/>
    <w:rsid w:val="00A31E1F"/>
    <w:rsid w:val="00A32258"/>
    <w:rsid w:val="00A324EE"/>
    <w:rsid w:val="00A32E7D"/>
    <w:rsid w:val="00A33A14"/>
    <w:rsid w:val="00A347BE"/>
    <w:rsid w:val="00A34F8F"/>
    <w:rsid w:val="00A351D0"/>
    <w:rsid w:val="00A35457"/>
    <w:rsid w:val="00A35B8C"/>
    <w:rsid w:val="00A36549"/>
    <w:rsid w:val="00A376A3"/>
    <w:rsid w:val="00A378BA"/>
    <w:rsid w:val="00A40126"/>
    <w:rsid w:val="00A40760"/>
    <w:rsid w:val="00A40C25"/>
    <w:rsid w:val="00A40FD9"/>
    <w:rsid w:val="00A40FF7"/>
    <w:rsid w:val="00A42167"/>
    <w:rsid w:val="00A429DA"/>
    <w:rsid w:val="00A42B99"/>
    <w:rsid w:val="00A435BF"/>
    <w:rsid w:val="00A43CF3"/>
    <w:rsid w:val="00A440A9"/>
    <w:rsid w:val="00A4438A"/>
    <w:rsid w:val="00A458A6"/>
    <w:rsid w:val="00A46F9E"/>
    <w:rsid w:val="00A47AF6"/>
    <w:rsid w:val="00A47EA9"/>
    <w:rsid w:val="00A50F04"/>
    <w:rsid w:val="00A51028"/>
    <w:rsid w:val="00A5109A"/>
    <w:rsid w:val="00A513AC"/>
    <w:rsid w:val="00A51635"/>
    <w:rsid w:val="00A51C94"/>
    <w:rsid w:val="00A51E6D"/>
    <w:rsid w:val="00A5308E"/>
    <w:rsid w:val="00A53FD7"/>
    <w:rsid w:val="00A54178"/>
    <w:rsid w:val="00A541F7"/>
    <w:rsid w:val="00A5445D"/>
    <w:rsid w:val="00A54AB2"/>
    <w:rsid w:val="00A54B9A"/>
    <w:rsid w:val="00A54CFE"/>
    <w:rsid w:val="00A55CE8"/>
    <w:rsid w:val="00A56478"/>
    <w:rsid w:val="00A5650E"/>
    <w:rsid w:val="00A56805"/>
    <w:rsid w:val="00A56942"/>
    <w:rsid w:val="00A600DC"/>
    <w:rsid w:val="00A60DA6"/>
    <w:rsid w:val="00A61349"/>
    <w:rsid w:val="00A614DA"/>
    <w:rsid w:val="00A61FC3"/>
    <w:rsid w:val="00A62E7D"/>
    <w:rsid w:val="00A63844"/>
    <w:rsid w:val="00A64D0D"/>
    <w:rsid w:val="00A6535B"/>
    <w:rsid w:val="00A65BF1"/>
    <w:rsid w:val="00A66132"/>
    <w:rsid w:val="00A664FE"/>
    <w:rsid w:val="00A66F51"/>
    <w:rsid w:val="00A67DBA"/>
    <w:rsid w:val="00A705EF"/>
    <w:rsid w:val="00A70B6D"/>
    <w:rsid w:val="00A7167F"/>
    <w:rsid w:val="00A7178C"/>
    <w:rsid w:val="00A718D8"/>
    <w:rsid w:val="00A71C98"/>
    <w:rsid w:val="00A71E8B"/>
    <w:rsid w:val="00A72337"/>
    <w:rsid w:val="00A7295D"/>
    <w:rsid w:val="00A738C7"/>
    <w:rsid w:val="00A74126"/>
    <w:rsid w:val="00A742F8"/>
    <w:rsid w:val="00A74637"/>
    <w:rsid w:val="00A74D3A"/>
    <w:rsid w:val="00A754F2"/>
    <w:rsid w:val="00A7557D"/>
    <w:rsid w:val="00A76FF7"/>
    <w:rsid w:val="00A771A4"/>
    <w:rsid w:val="00A773E5"/>
    <w:rsid w:val="00A778D1"/>
    <w:rsid w:val="00A77F2C"/>
    <w:rsid w:val="00A80E49"/>
    <w:rsid w:val="00A80E67"/>
    <w:rsid w:val="00A81FB3"/>
    <w:rsid w:val="00A82224"/>
    <w:rsid w:val="00A824C9"/>
    <w:rsid w:val="00A82C0D"/>
    <w:rsid w:val="00A83983"/>
    <w:rsid w:val="00A83A13"/>
    <w:rsid w:val="00A83C12"/>
    <w:rsid w:val="00A83D11"/>
    <w:rsid w:val="00A850DA"/>
    <w:rsid w:val="00A8534F"/>
    <w:rsid w:val="00A85E64"/>
    <w:rsid w:val="00A86298"/>
    <w:rsid w:val="00A86511"/>
    <w:rsid w:val="00A86564"/>
    <w:rsid w:val="00A86B9F"/>
    <w:rsid w:val="00A87687"/>
    <w:rsid w:val="00A903D7"/>
    <w:rsid w:val="00A90417"/>
    <w:rsid w:val="00A90938"/>
    <w:rsid w:val="00A90E8F"/>
    <w:rsid w:val="00A9106E"/>
    <w:rsid w:val="00A917F2"/>
    <w:rsid w:val="00A91EB9"/>
    <w:rsid w:val="00A91FCB"/>
    <w:rsid w:val="00A922F5"/>
    <w:rsid w:val="00A9253B"/>
    <w:rsid w:val="00A9273D"/>
    <w:rsid w:val="00A9278F"/>
    <w:rsid w:val="00A929B9"/>
    <w:rsid w:val="00A93BD5"/>
    <w:rsid w:val="00A93F3F"/>
    <w:rsid w:val="00A93F81"/>
    <w:rsid w:val="00A96798"/>
    <w:rsid w:val="00A96915"/>
    <w:rsid w:val="00A96939"/>
    <w:rsid w:val="00AA0089"/>
    <w:rsid w:val="00AA05AA"/>
    <w:rsid w:val="00AA098A"/>
    <w:rsid w:val="00AA11A5"/>
    <w:rsid w:val="00AA1E98"/>
    <w:rsid w:val="00AA2C83"/>
    <w:rsid w:val="00AA4CCC"/>
    <w:rsid w:val="00AA4EC7"/>
    <w:rsid w:val="00AA5370"/>
    <w:rsid w:val="00AA5B49"/>
    <w:rsid w:val="00AA6ACF"/>
    <w:rsid w:val="00AA7FDE"/>
    <w:rsid w:val="00AB0922"/>
    <w:rsid w:val="00AB0970"/>
    <w:rsid w:val="00AB0AE8"/>
    <w:rsid w:val="00AB0F48"/>
    <w:rsid w:val="00AB1528"/>
    <w:rsid w:val="00AB1B01"/>
    <w:rsid w:val="00AB1D92"/>
    <w:rsid w:val="00AB2518"/>
    <w:rsid w:val="00AB26F3"/>
    <w:rsid w:val="00AB2BC6"/>
    <w:rsid w:val="00AB2E3E"/>
    <w:rsid w:val="00AB49D7"/>
    <w:rsid w:val="00AB50DA"/>
    <w:rsid w:val="00AB5855"/>
    <w:rsid w:val="00AB5F77"/>
    <w:rsid w:val="00AB6024"/>
    <w:rsid w:val="00AB6197"/>
    <w:rsid w:val="00AB6DC7"/>
    <w:rsid w:val="00AB6EBD"/>
    <w:rsid w:val="00AB724D"/>
    <w:rsid w:val="00AB7461"/>
    <w:rsid w:val="00AB7B7F"/>
    <w:rsid w:val="00AC0092"/>
    <w:rsid w:val="00AC0703"/>
    <w:rsid w:val="00AC07E5"/>
    <w:rsid w:val="00AC09EB"/>
    <w:rsid w:val="00AC1039"/>
    <w:rsid w:val="00AC2A58"/>
    <w:rsid w:val="00AC37F6"/>
    <w:rsid w:val="00AC3930"/>
    <w:rsid w:val="00AC4EA1"/>
    <w:rsid w:val="00AC4F3A"/>
    <w:rsid w:val="00AC5C1B"/>
    <w:rsid w:val="00AC5D4E"/>
    <w:rsid w:val="00AC5FCB"/>
    <w:rsid w:val="00AC7A22"/>
    <w:rsid w:val="00AD01AF"/>
    <w:rsid w:val="00AD0457"/>
    <w:rsid w:val="00AD082F"/>
    <w:rsid w:val="00AD087D"/>
    <w:rsid w:val="00AD0C5B"/>
    <w:rsid w:val="00AD17CA"/>
    <w:rsid w:val="00AD1C26"/>
    <w:rsid w:val="00AD25FD"/>
    <w:rsid w:val="00AD264F"/>
    <w:rsid w:val="00AD2691"/>
    <w:rsid w:val="00AD2757"/>
    <w:rsid w:val="00AD2D4C"/>
    <w:rsid w:val="00AD300F"/>
    <w:rsid w:val="00AD31FB"/>
    <w:rsid w:val="00AD3236"/>
    <w:rsid w:val="00AD34EE"/>
    <w:rsid w:val="00AD3635"/>
    <w:rsid w:val="00AD48DB"/>
    <w:rsid w:val="00AD4F6C"/>
    <w:rsid w:val="00AD6868"/>
    <w:rsid w:val="00AD70CD"/>
    <w:rsid w:val="00AD799C"/>
    <w:rsid w:val="00AD7C5C"/>
    <w:rsid w:val="00AE01C0"/>
    <w:rsid w:val="00AE041D"/>
    <w:rsid w:val="00AE0465"/>
    <w:rsid w:val="00AE075A"/>
    <w:rsid w:val="00AE08DA"/>
    <w:rsid w:val="00AE0B5F"/>
    <w:rsid w:val="00AE10E9"/>
    <w:rsid w:val="00AE1AD0"/>
    <w:rsid w:val="00AE1CDC"/>
    <w:rsid w:val="00AE2276"/>
    <w:rsid w:val="00AE22E8"/>
    <w:rsid w:val="00AE2450"/>
    <w:rsid w:val="00AE26E6"/>
    <w:rsid w:val="00AE2EDA"/>
    <w:rsid w:val="00AE3D2D"/>
    <w:rsid w:val="00AE3E1B"/>
    <w:rsid w:val="00AE48A9"/>
    <w:rsid w:val="00AE534D"/>
    <w:rsid w:val="00AE5848"/>
    <w:rsid w:val="00AE5FD5"/>
    <w:rsid w:val="00AE6519"/>
    <w:rsid w:val="00AE6703"/>
    <w:rsid w:val="00AE6F48"/>
    <w:rsid w:val="00AE7763"/>
    <w:rsid w:val="00AE78A7"/>
    <w:rsid w:val="00AE7931"/>
    <w:rsid w:val="00AE7B31"/>
    <w:rsid w:val="00AF053D"/>
    <w:rsid w:val="00AF0709"/>
    <w:rsid w:val="00AF0866"/>
    <w:rsid w:val="00AF08E6"/>
    <w:rsid w:val="00AF194E"/>
    <w:rsid w:val="00AF19A2"/>
    <w:rsid w:val="00AF1B18"/>
    <w:rsid w:val="00AF1EF1"/>
    <w:rsid w:val="00AF2285"/>
    <w:rsid w:val="00AF240F"/>
    <w:rsid w:val="00AF243C"/>
    <w:rsid w:val="00AF3257"/>
    <w:rsid w:val="00AF364F"/>
    <w:rsid w:val="00AF3786"/>
    <w:rsid w:val="00AF3870"/>
    <w:rsid w:val="00AF4925"/>
    <w:rsid w:val="00AF54F6"/>
    <w:rsid w:val="00AF59AE"/>
    <w:rsid w:val="00AF66E5"/>
    <w:rsid w:val="00AF66FB"/>
    <w:rsid w:val="00AF7040"/>
    <w:rsid w:val="00AF711E"/>
    <w:rsid w:val="00AF76E9"/>
    <w:rsid w:val="00B002D9"/>
    <w:rsid w:val="00B0086B"/>
    <w:rsid w:val="00B01517"/>
    <w:rsid w:val="00B017E2"/>
    <w:rsid w:val="00B02296"/>
    <w:rsid w:val="00B03315"/>
    <w:rsid w:val="00B034FE"/>
    <w:rsid w:val="00B03921"/>
    <w:rsid w:val="00B043FE"/>
    <w:rsid w:val="00B07F99"/>
    <w:rsid w:val="00B07FFC"/>
    <w:rsid w:val="00B11D1E"/>
    <w:rsid w:val="00B12588"/>
    <w:rsid w:val="00B12843"/>
    <w:rsid w:val="00B129A8"/>
    <w:rsid w:val="00B12CC5"/>
    <w:rsid w:val="00B1368E"/>
    <w:rsid w:val="00B1418C"/>
    <w:rsid w:val="00B159C7"/>
    <w:rsid w:val="00B15A60"/>
    <w:rsid w:val="00B15AEF"/>
    <w:rsid w:val="00B15B79"/>
    <w:rsid w:val="00B169AD"/>
    <w:rsid w:val="00B1744E"/>
    <w:rsid w:val="00B17DB2"/>
    <w:rsid w:val="00B20270"/>
    <w:rsid w:val="00B20436"/>
    <w:rsid w:val="00B20525"/>
    <w:rsid w:val="00B20CD0"/>
    <w:rsid w:val="00B20F1F"/>
    <w:rsid w:val="00B21387"/>
    <w:rsid w:val="00B21844"/>
    <w:rsid w:val="00B21B1D"/>
    <w:rsid w:val="00B225AB"/>
    <w:rsid w:val="00B22EDA"/>
    <w:rsid w:val="00B238F3"/>
    <w:rsid w:val="00B23D60"/>
    <w:rsid w:val="00B2438C"/>
    <w:rsid w:val="00B24591"/>
    <w:rsid w:val="00B248F1"/>
    <w:rsid w:val="00B24BA5"/>
    <w:rsid w:val="00B24BC8"/>
    <w:rsid w:val="00B24E65"/>
    <w:rsid w:val="00B24ED3"/>
    <w:rsid w:val="00B252C9"/>
    <w:rsid w:val="00B25995"/>
    <w:rsid w:val="00B25CB8"/>
    <w:rsid w:val="00B25DFA"/>
    <w:rsid w:val="00B2630D"/>
    <w:rsid w:val="00B263F3"/>
    <w:rsid w:val="00B26432"/>
    <w:rsid w:val="00B265BD"/>
    <w:rsid w:val="00B2696A"/>
    <w:rsid w:val="00B26D7F"/>
    <w:rsid w:val="00B26E3E"/>
    <w:rsid w:val="00B27611"/>
    <w:rsid w:val="00B30555"/>
    <w:rsid w:val="00B30695"/>
    <w:rsid w:val="00B31695"/>
    <w:rsid w:val="00B31C72"/>
    <w:rsid w:val="00B338F6"/>
    <w:rsid w:val="00B33C7F"/>
    <w:rsid w:val="00B34672"/>
    <w:rsid w:val="00B34BDF"/>
    <w:rsid w:val="00B35FE4"/>
    <w:rsid w:val="00B364E8"/>
    <w:rsid w:val="00B37132"/>
    <w:rsid w:val="00B37A48"/>
    <w:rsid w:val="00B37B29"/>
    <w:rsid w:val="00B37BD4"/>
    <w:rsid w:val="00B41173"/>
    <w:rsid w:val="00B41279"/>
    <w:rsid w:val="00B41D2C"/>
    <w:rsid w:val="00B41F01"/>
    <w:rsid w:val="00B41FD5"/>
    <w:rsid w:val="00B4213D"/>
    <w:rsid w:val="00B4306A"/>
    <w:rsid w:val="00B4377C"/>
    <w:rsid w:val="00B43FAA"/>
    <w:rsid w:val="00B44C3A"/>
    <w:rsid w:val="00B450FF"/>
    <w:rsid w:val="00B45151"/>
    <w:rsid w:val="00B46B2F"/>
    <w:rsid w:val="00B4714D"/>
    <w:rsid w:val="00B47294"/>
    <w:rsid w:val="00B4764C"/>
    <w:rsid w:val="00B47D03"/>
    <w:rsid w:val="00B47E8A"/>
    <w:rsid w:val="00B50E46"/>
    <w:rsid w:val="00B51467"/>
    <w:rsid w:val="00B5148D"/>
    <w:rsid w:val="00B514BA"/>
    <w:rsid w:val="00B518DE"/>
    <w:rsid w:val="00B52925"/>
    <w:rsid w:val="00B5293D"/>
    <w:rsid w:val="00B52AF7"/>
    <w:rsid w:val="00B532D3"/>
    <w:rsid w:val="00B53815"/>
    <w:rsid w:val="00B540B5"/>
    <w:rsid w:val="00B544C9"/>
    <w:rsid w:val="00B54E4F"/>
    <w:rsid w:val="00B553E7"/>
    <w:rsid w:val="00B55643"/>
    <w:rsid w:val="00B55A56"/>
    <w:rsid w:val="00B55C3F"/>
    <w:rsid w:val="00B55FE7"/>
    <w:rsid w:val="00B56227"/>
    <w:rsid w:val="00B56881"/>
    <w:rsid w:val="00B570B8"/>
    <w:rsid w:val="00B6085D"/>
    <w:rsid w:val="00B60C09"/>
    <w:rsid w:val="00B61C32"/>
    <w:rsid w:val="00B61D45"/>
    <w:rsid w:val="00B61EEB"/>
    <w:rsid w:val="00B62670"/>
    <w:rsid w:val="00B629D8"/>
    <w:rsid w:val="00B62DA4"/>
    <w:rsid w:val="00B62E7B"/>
    <w:rsid w:val="00B62F6C"/>
    <w:rsid w:val="00B63C09"/>
    <w:rsid w:val="00B63DA3"/>
    <w:rsid w:val="00B66429"/>
    <w:rsid w:val="00B701AC"/>
    <w:rsid w:val="00B703BC"/>
    <w:rsid w:val="00B70A87"/>
    <w:rsid w:val="00B72084"/>
    <w:rsid w:val="00B72334"/>
    <w:rsid w:val="00B72AF2"/>
    <w:rsid w:val="00B72C48"/>
    <w:rsid w:val="00B72CB0"/>
    <w:rsid w:val="00B7320D"/>
    <w:rsid w:val="00B747F7"/>
    <w:rsid w:val="00B7501F"/>
    <w:rsid w:val="00B757DF"/>
    <w:rsid w:val="00B76016"/>
    <w:rsid w:val="00B769EE"/>
    <w:rsid w:val="00B76C24"/>
    <w:rsid w:val="00B76E89"/>
    <w:rsid w:val="00B771E7"/>
    <w:rsid w:val="00B77291"/>
    <w:rsid w:val="00B77838"/>
    <w:rsid w:val="00B7792A"/>
    <w:rsid w:val="00B80179"/>
    <w:rsid w:val="00B80468"/>
    <w:rsid w:val="00B81C24"/>
    <w:rsid w:val="00B8249E"/>
    <w:rsid w:val="00B82832"/>
    <w:rsid w:val="00B83A7B"/>
    <w:rsid w:val="00B84498"/>
    <w:rsid w:val="00B85682"/>
    <w:rsid w:val="00B866F1"/>
    <w:rsid w:val="00B86B34"/>
    <w:rsid w:val="00B876BE"/>
    <w:rsid w:val="00B9168A"/>
    <w:rsid w:val="00B9199C"/>
    <w:rsid w:val="00B9237A"/>
    <w:rsid w:val="00B930C0"/>
    <w:rsid w:val="00B940D8"/>
    <w:rsid w:val="00B94C16"/>
    <w:rsid w:val="00B95D73"/>
    <w:rsid w:val="00B95F35"/>
    <w:rsid w:val="00B96BB1"/>
    <w:rsid w:val="00B96C34"/>
    <w:rsid w:val="00B97485"/>
    <w:rsid w:val="00B97C93"/>
    <w:rsid w:val="00B97F87"/>
    <w:rsid w:val="00BA06B6"/>
    <w:rsid w:val="00BA212A"/>
    <w:rsid w:val="00BA2275"/>
    <w:rsid w:val="00BA2384"/>
    <w:rsid w:val="00BA3681"/>
    <w:rsid w:val="00BA3A2F"/>
    <w:rsid w:val="00BA3FEC"/>
    <w:rsid w:val="00BA59C7"/>
    <w:rsid w:val="00BA6181"/>
    <w:rsid w:val="00BA63F9"/>
    <w:rsid w:val="00BA641D"/>
    <w:rsid w:val="00BA6ADE"/>
    <w:rsid w:val="00BA793C"/>
    <w:rsid w:val="00BB0E41"/>
    <w:rsid w:val="00BB15D9"/>
    <w:rsid w:val="00BB22E4"/>
    <w:rsid w:val="00BB3AFA"/>
    <w:rsid w:val="00BB3BA1"/>
    <w:rsid w:val="00BB4F55"/>
    <w:rsid w:val="00BB55FA"/>
    <w:rsid w:val="00BB56EC"/>
    <w:rsid w:val="00BB5D90"/>
    <w:rsid w:val="00BB5DF7"/>
    <w:rsid w:val="00BB6435"/>
    <w:rsid w:val="00BB70D7"/>
    <w:rsid w:val="00BC11AA"/>
    <w:rsid w:val="00BC120F"/>
    <w:rsid w:val="00BC215B"/>
    <w:rsid w:val="00BC22FA"/>
    <w:rsid w:val="00BC24AE"/>
    <w:rsid w:val="00BC370F"/>
    <w:rsid w:val="00BC3930"/>
    <w:rsid w:val="00BC3A51"/>
    <w:rsid w:val="00BC3B6E"/>
    <w:rsid w:val="00BC4EC3"/>
    <w:rsid w:val="00BD04D6"/>
    <w:rsid w:val="00BD0633"/>
    <w:rsid w:val="00BD0DA4"/>
    <w:rsid w:val="00BD1070"/>
    <w:rsid w:val="00BD1AA1"/>
    <w:rsid w:val="00BD223B"/>
    <w:rsid w:val="00BD2E2B"/>
    <w:rsid w:val="00BD33A4"/>
    <w:rsid w:val="00BD3A52"/>
    <w:rsid w:val="00BD3E0D"/>
    <w:rsid w:val="00BD43A8"/>
    <w:rsid w:val="00BD4864"/>
    <w:rsid w:val="00BD4A0E"/>
    <w:rsid w:val="00BD4B66"/>
    <w:rsid w:val="00BD4F04"/>
    <w:rsid w:val="00BD5941"/>
    <w:rsid w:val="00BD5B07"/>
    <w:rsid w:val="00BD6992"/>
    <w:rsid w:val="00BD767B"/>
    <w:rsid w:val="00BE0B8C"/>
    <w:rsid w:val="00BE17FE"/>
    <w:rsid w:val="00BE1AB3"/>
    <w:rsid w:val="00BE1CA0"/>
    <w:rsid w:val="00BE3D65"/>
    <w:rsid w:val="00BE4315"/>
    <w:rsid w:val="00BE44E3"/>
    <w:rsid w:val="00BE45EA"/>
    <w:rsid w:val="00BE47C3"/>
    <w:rsid w:val="00BE485D"/>
    <w:rsid w:val="00BE58C1"/>
    <w:rsid w:val="00BE6324"/>
    <w:rsid w:val="00BE669D"/>
    <w:rsid w:val="00BE70B6"/>
    <w:rsid w:val="00BE7CCF"/>
    <w:rsid w:val="00BF001A"/>
    <w:rsid w:val="00BF1471"/>
    <w:rsid w:val="00BF1532"/>
    <w:rsid w:val="00BF2305"/>
    <w:rsid w:val="00BF2882"/>
    <w:rsid w:val="00BF31DE"/>
    <w:rsid w:val="00BF4177"/>
    <w:rsid w:val="00BF470E"/>
    <w:rsid w:val="00BF4C2B"/>
    <w:rsid w:val="00BF56CB"/>
    <w:rsid w:val="00BF5C8E"/>
    <w:rsid w:val="00BF6AE4"/>
    <w:rsid w:val="00BF721B"/>
    <w:rsid w:val="00BF723D"/>
    <w:rsid w:val="00BF7278"/>
    <w:rsid w:val="00BF7437"/>
    <w:rsid w:val="00C00E71"/>
    <w:rsid w:val="00C01EC1"/>
    <w:rsid w:val="00C025E7"/>
    <w:rsid w:val="00C03104"/>
    <w:rsid w:val="00C035DA"/>
    <w:rsid w:val="00C04805"/>
    <w:rsid w:val="00C0558A"/>
    <w:rsid w:val="00C057D1"/>
    <w:rsid w:val="00C0645E"/>
    <w:rsid w:val="00C0680C"/>
    <w:rsid w:val="00C06F8C"/>
    <w:rsid w:val="00C07458"/>
    <w:rsid w:val="00C077DD"/>
    <w:rsid w:val="00C0788C"/>
    <w:rsid w:val="00C0797D"/>
    <w:rsid w:val="00C12A1F"/>
    <w:rsid w:val="00C12F90"/>
    <w:rsid w:val="00C1404F"/>
    <w:rsid w:val="00C14C0B"/>
    <w:rsid w:val="00C158E7"/>
    <w:rsid w:val="00C15CC2"/>
    <w:rsid w:val="00C16360"/>
    <w:rsid w:val="00C163E9"/>
    <w:rsid w:val="00C168B7"/>
    <w:rsid w:val="00C16C61"/>
    <w:rsid w:val="00C1718F"/>
    <w:rsid w:val="00C17AAC"/>
    <w:rsid w:val="00C17E8C"/>
    <w:rsid w:val="00C20132"/>
    <w:rsid w:val="00C20321"/>
    <w:rsid w:val="00C20687"/>
    <w:rsid w:val="00C20A95"/>
    <w:rsid w:val="00C21236"/>
    <w:rsid w:val="00C21DAE"/>
    <w:rsid w:val="00C2461D"/>
    <w:rsid w:val="00C25116"/>
    <w:rsid w:val="00C25EA5"/>
    <w:rsid w:val="00C26BCC"/>
    <w:rsid w:val="00C278EE"/>
    <w:rsid w:val="00C27C35"/>
    <w:rsid w:val="00C27D5B"/>
    <w:rsid w:val="00C3041A"/>
    <w:rsid w:val="00C30DF9"/>
    <w:rsid w:val="00C3119A"/>
    <w:rsid w:val="00C321D0"/>
    <w:rsid w:val="00C3255D"/>
    <w:rsid w:val="00C329BF"/>
    <w:rsid w:val="00C3362C"/>
    <w:rsid w:val="00C33A68"/>
    <w:rsid w:val="00C33FEA"/>
    <w:rsid w:val="00C349F1"/>
    <w:rsid w:val="00C34D79"/>
    <w:rsid w:val="00C35420"/>
    <w:rsid w:val="00C35D8E"/>
    <w:rsid w:val="00C35DE6"/>
    <w:rsid w:val="00C3655C"/>
    <w:rsid w:val="00C36CF6"/>
    <w:rsid w:val="00C378D1"/>
    <w:rsid w:val="00C37B4B"/>
    <w:rsid w:val="00C413C7"/>
    <w:rsid w:val="00C415FE"/>
    <w:rsid w:val="00C41E0C"/>
    <w:rsid w:val="00C4260C"/>
    <w:rsid w:val="00C42C21"/>
    <w:rsid w:val="00C435A4"/>
    <w:rsid w:val="00C43A0A"/>
    <w:rsid w:val="00C446D5"/>
    <w:rsid w:val="00C44A7A"/>
    <w:rsid w:val="00C44D75"/>
    <w:rsid w:val="00C458A4"/>
    <w:rsid w:val="00C45E1C"/>
    <w:rsid w:val="00C45EEE"/>
    <w:rsid w:val="00C45FAA"/>
    <w:rsid w:val="00C466D2"/>
    <w:rsid w:val="00C47B49"/>
    <w:rsid w:val="00C47C97"/>
    <w:rsid w:val="00C47E15"/>
    <w:rsid w:val="00C5046D"/>
    <w:rsid w:val="00C507CF"/>
    <w:rsid w:val="00C50966"/>
    <w:rsid w:val="00C5100E"/>
    <w:rsid w:val="00C52550"/>
    <w:rsid w:val="00C5263D"/>
    <w:rsid w:val="00C526A9"/>
    <w:rsid w:val="00C52729"/>
    <w:rsid w:val="00C532F6"/>
    <w:rsid w:val="00C53B04"/>
    <w:rsid w:val="00C5433E"/>
    <w:rsid w:val="00C54718"/>
    <w:rsid w:val="00C54E42"/>
    <w:rsid w:val="00C562A5"/>
    <w:rsid w:val="00C5793D"/>
    <w:rsid w:val="00C57F20"/>
    <w:rsid w:val="00C604A9"/>
    <w:rsid w:val="00C61C0C"/>
    <w:rsid w:val="00C621CC"/>
    <w:rsid w:val="00C62535"/>
    <w:rsid w:val="00C62F10"/>
    <w:rsid w:val="00C63CE2"/>
    <w:rsid w:val="00C64082"/>
    <w:rsid w:val="00C64085"/>
    <w:rsid w:val="00C640EE"/>
    <w:rsid w:val="00C6531B"/>
    <w:rsid w:val="00C65AAD"/>
    <w:rsid w:val="00C65DC2"/>
    <w:rsid w:val="00C668D9"/>
    <w:rsid w:val="00C67454"/>
    <w:rsid w:val="00C67D29"/>
    <w:rsid w:val="00C70378"/>
    <w:rsid w:val="00C7085B"/>
    <w:rsid w:val="00C70AF3"/>
    <w:rsid w:val="00C70F1E"/>
    <w:rsid w:val="00C7129A"/>
    <w:rsid w:val="00C71A5E"/>
    <w:rsid w:val="00C71D84"/>
    <w:rsid w:val="00C7256D"/>
    <w:rsid w:val="00C728AB"/>
    <w:rsid w:val="00C72A72"/>
    <w:rsid w:val="00C730BA"/>
    <w:rsid w:val="00C73240"/>
    <w:rsid w:val="00C734CA"/>
    <w:rsid w:val="00C7356D"/>
    <w:rsid w:val="00C735CF"/>
    <w:rsid w:val="00C73957"/>
    <w:rsid w:val="00C73E9C"/>
    <w:rsid w:val="00C740A0"/>
    <w:rsid w:val="00C7446C"/>
    <w:rsid w:val="00C749CB"/>
    <w:rsid w:val="00C75164"/>
    <w:rsid w:val="00C757E1"/>
    <w:rsid w:val="00C767CB"/>
    <w:rsid w:val="00C76A32"/>
    <w:rsid w:val="00C77D66"/>
    <w:rsid w:val="00C8042B"/>
    <w:rsid w:val="00C81060"/>
    <w:rsid w:val="00C81070"/>
    <w:rsid w:val="00C811FE"/>
    <w:rsid w:val="00C81FFF"/>
    <w:rsid w:val="00C83052"/>
    <w:rsid w:val="00C835A8"/>
    <w:rsid w:val="00C83A51"/>
    <w:rsid w:val="00C841C7"/>
    <w:rsid w:val="00C84F0D"/>
    <w:rsid w:val="00C86E9A"/>
    <w:rsid w:val="00C87022"/>
    <w:rsid w:val="00C870A7"/>
    <w:rsid w:val="00C8760B"/>
    <w:rsid w:val="00C8765B"/>
    <w:rsid w:val="00C879CE"/>
    <w:rsid w:val="00C87B18"/>
    <w:rsid w:val="00C90331"/>
    <w:rsid w:val="00C90A39"/>
    <w:rsid w:val="00C925D5"/>
    <w:rsid w:val="00C92795"/>
    <w:rsid w:val="00C929F8"/>
    <w:rsid w:val="00C93A51"/>
    <w:rsid w:val="00C93C98"/>
    <w:rsid w:val="00C93F41"/>
    <w:rsid w:val="00C94783"/>
    <w:rsid w:val="00C947E1"/>
    <w:rsid w:val="00C94B55"/>
    <w:rsid w:val="00C94CC6"/>
    <w:rsid w:val="00C955E3"/>
    <w:rsid w:val="00C97ADA"/>
    <w:rsid w:val="00CA0770"/>
    <w:rsid w:val="00CA12D4"/>
    <w:rsid w:val="00CA1BA2"/>
    <w:rsid w:val="00CA1D66"/>
    <w:rsid w:val="00CA235F"/>
    <w:rsid w:val="00CA27B8"/>
    <w:rsid w:val="00CA2884"/>
    <w:rsid w:val="00CA29C7"/>
    <w:rsid w:val="00CA2FA3"/>
    <w:rsid w:val="00CA2FA6"/>
    <w:rsid w:val="00CA3067"/>
    <w:rsid w:val="00CA30E6"/>
    <w:rsid w:val="00CA36BA"/>
    <w:rsid w:val="00CA38E1"/>
    <w:rsid w:val="00CA4F93"/>
    <w:rsid w:val="00CA5C4D"/>
    <w:rsid w:val="00CA6452"/>
    <w:rsid w:val="00CA65CD"/>
    <w:rsid w:val="00CA6697"/>
    <w:rsid w:val="00CA6798"/>
    <w:rsid w:val="00CA70DD"/>
    <w:rsid w:val="00CA738F"/>
    <w:rsid w:val="00CB105D"/>
    <w:rsid w:val="00CB171E"/>
    <w:rsid w:val="00CB3179"/>
    <w:rsid w:val="00CB3236"/>
    <w:rsid w:val="00CB3C35"/>
    <w:rsid w:val="00CB438F"/>
    <w:rsid w:val="00CB4491"/>
    <w:rsid w:val="00CB4FE8"/>
    <w:rsid w:val="00CB5712"/>
    <w:rsid w:val="00CB64CD"/>
    <w:rsid w:val="00CB7973"/>
    <w:rsid w:val="00CB7A62"/>
    <w:rsid w:val="00CC0A7B"/>
    <w:rsid w:val="00CC16D8"/>
    <w:rsid w:val="00CC1C0D"/>
    <w:rsid w:val="00CC1F41"/>
    <w:rsid w:val="00CC283A"/>
    <w:rsid w:val="00CC2EE3"/>
    <w:rsid w:val="00CC32AA"/>
    <w:rsid w:val="00CC40B0"/>
    <w:rsid w:val="00CC45BA"/>
    <w:rsid w:val="00CC483D"/>
    <w:rsid w:val="00CC4DA3"/>
    <w:rsid w:val="00CC5CE7"/>
    <w:rsid w:val="00CC5D1E"/>
    <w:rsid w:val="00CC6A84"/>
    <w:rsid w:val="00CC6E34"/>
    <w:rsid w:val="00CC71F2"/>
    <w:rsid w:val="00CD001F"/>
    <w:rsid w:val="00CD07DD"/>
    <w:rsid w:val="00CD08FC"/>
    <w:rsid w:val="00CD0B2B"/>
    <w:rsid w:val="00CD2634"/>
    <w:rsid w:val="00CD27B6"/>
    <w:rsid w:val="00CD2B9E"/>
    <w:rsid w:val="00CD35FF"/>
    <w:rsid w:val="00CD4497"/>
    <w:rsid w:val="00CD4C47"/>
    <w:rsid w:val="00CD4C71"/>
    <w:rsid w:val="00CD5492"/>
    <w:rsid w:val="00CD6274"/>
    <w:rsid w:val="00CD6602"/>
    <w:rsid w:val="00CD6F9A"/>
    <w:rsid w:val="00CD7570"/>
    <w:rsid w:val="00CE0607"/>
    <w:rsid w:val="00CE0737"/>
    <w:rsid w:val="00CE189C"/>
    <w:rsid w:val="00CE2628"/>
    <w:rsid w:val="00CE2663"/>
    <w:rsid w:val="00CE2F17"/>
    <w:rsid w:val="00CE307C"/>
    <w:rsid w:val="00CE3350"/>
    <w:rsid w:val="00CE3488"/>
    <w:rsid w:val="00CE3EB5"/>
    <w:rsid w:val="00CE4E9A"/>
    <w:rsid w:val="00CE52E6"/>
    <w:rsid w:val="00CE6287"/>
    <w:rsid w:val="00CE629D"/>
    <w:rsid w:val="00CE6F0A"/>
    <w:rsid w:val="00CE7017"/>
    <w:rsid w:val="00CE7988"/>
    <w:rsid w:val="00CE7CCA"/>
    <w:rsid w:val="00CE7F0C"/>
    <w:rsid w:val="00CF0AE8"/>
    <w:rsid w:val="00CF1109"/>
    <w:rsid w:val="00CF24A6"/>
    <w:rsid w:val="00CF26C7"/>
    <w:rsid w:val="00CF2814"/>
    <w:rsid w:val="00CF3724"/>
    <w:rsid w:val="00CF3AA6"/>
    <w:rsid w:val="00CF3ACD"/>
    <w:rsid w:val="00CF3CEB"/>
    <w:rsid w:val="00CF3ECC"/>
    <w:rsid w:val="00CF4056"/>
    <w:rsid w:val="00CF43B8"/>
    <w:rsid w:val="00CF49F7"/>
    <w:rsid w:val="00CF4E29"/>
    <w:rsid w:val="00CF5925"/>
    <w:rsid w:val="00CF5A2D"/>
    <w:rsid w:val="00CF607C"/>
    <w:rsid w:val="00CF60C5"/>
    <w:rsid w:val="00CF64B4"/>
    <w:rsid w:val="00CF665C"/>
    <w:rsid w:val="00CF6F6C"/>
    <w:rsid w:val="00D004A3"/>
    <w:rsid w:val="00D008B0"/>
    <w:rsid w:val="00D00991"/>
    <w:rsid w:val="00D03E68"/>
    <w:rsid w:val="00D04976"/>
    <w:rsid w:val="00D053BD"/>
    <w:rsid w:val="00D06B94"/>
    <w:rsid w:val="00D071A4"/>
    <w:rsid w:val="00D07EBB"/>
    <w:rsid w:val="00D1016B"/>
    <w:rsid w:val="00D10502"/>
    <w:rsid w:val="00D10912"/>
    <w:rsid w:val="00D10B95"/>
    <w:rsid w:val="00D112D0"/>
    <w:rsid w:val="00D11556"/>
    <w:rsid w:val="00D11740"/>
    <w:rsid w:val="00D11EE6"/>
    <w:rsid w:val="00D12F55"/>
    <w:rsid w:val="00D13757"/>
    <w:rsid w:val="00D13BA7"/>
    <w:rsid w:val="00D13D97"/>
    <w:rsid w:val="00D13F93"/>
    <w:rsid w:val="00D14161"/>
    <w:rsid w:val="00D1542B"/>
    <w:rsid w:val="00D15D7B"/>
    <w:rsid w:val="00D16170"/>
    <w:rsid w:val="00D16B7D"/>
    <w:rsid w:val="00D16C53"/>
    <w:rsid w:val="00D1787A"/>
    <w:rsid w:val="00D17AB6"/>
    <w:rsid w:val="00D206F5"/>
    <w:rsid w:val="00D209A5"/>
    <w:rsid w:val="00D20B15"/>
    <w:rsid w:val="00D20DE6"/>
    <w:rsid w:val="00D2109F"/>
    <w:rsid w:val="00D210C8"/>
    <w:rsid w:val="00D212ED"/>
    <w:rsid w:val="00D21C64"/>
    <w:rsid w:val="00D22A41"/>
    <w:rsid w:val="00D23D36"/>
    <w:rsid w:val="00D23EC8"/>
    <w:rsid w:val="00D248B9"/>
    <w:rsid w:val="00D258EC"/>
    <w:rsid w:val="00D25D46"/>
    <w:rsid w:val="00D25E56"/>
    <w:rsid w:val="00D2728A"/>
    <w:rsid w:val="00D27C15"/>
    <w:rsid w:val="00D30115"/>
    <w:rsid w:val="00D31C26"/>
    <w:rsid w:val="00D331EE"/>
    <w:rsid w:val="00D3330F"/>
    <w:rsid w:val="00D335DC"/>
    <w:rsid w:val="00D33648"/>
    <w:rsid w:val="00D33731"/>
    <w:rsid w:val="00D34715"/>
    <w:rsid w:val="00D34DE2"/>
    <w:rsid w:val="00D351F4"/>
    <w:rsid w:val="00D3560F"/>
    <w:rsid w:val="00D35814"/>
    <w:rsid w:val="00D35C1A"/>
    <w:rsid w:val="00D37195"/>
    <w:rsid w:val="00D415AE"/>
    <w:rsid w:val="00D41E26"/>
    <w:rsid w:val="00D425D8"/>
    <w:rsid w:val="00D426ED"/>
    <w:rsid w:val="00D4276F"/>
    <w:rsid w:val="00D42D77"/>
    <w:rsid w:val="00D446B3"/>
    <w:rsid w:val="00D44F09"/>
    <w:rsid w:val="00D4541C"/>
    <w:rsid w:val="00D455D7"/>
    <w:rsid w:val="00D45CF7"/>
    <w:rsid w:val="00D45D0F"/>
    <w:rsid w:val="00D47306"/>
    <w:rsid w:val="00D47502"/>
    <w:rsid w:val="00D4778E"/>
    <w:rsid w:val="00D50248"/>
    <w:rsid w:val="00D53552"/>
    <w:rsid w:val="00D5375C"/>
    <w:rsid w:val="00D53830"/>
    <w:rsid w:val="00D53912"/>
    <w:rsid w:val="00D53D3B"/>
    <w:rsid w:val="00D54353"/>
    <w:rsid w:val="00D5458F"/>
    <w:rsid w:val="00D55A5F"/>
    <w:rsid w:val="00D55C04"/>
    <w:rsid w:val="00D563C0"/>
    <w:rsid w:val="00D564F6"/>
    <w:rsid w:val="00D56B37"/>
    <w:rsid w:val="00D56B49"/>
    <w:rsid w:val="00D57890"/>
    <w:rsid w:val="00D6041E"/>
    <w:rsid w:val="00D607C2"/>
    <w:rsid w:val="00D60A9F"/>
    <w:rsid w:val="00D60F18"/>
    <w:rsid w:val="00D62C02"/>
    <w:rsid w:val="00D62D9D"/>
    <w:rsid w:val="00D6378E"/>
    <w:rsid w:val="00D63AD5"/>
    <w:rsid w:val="00D648E7"/>
    <w:rsid w:val="00D64CCE"/>
    <w:rsid w:val="00D675E1"/>
    <w:rsid w:val="00D7002B"/>
    <w:rsid w:val="00D70FEC"/>
    <w:rsid w:val="00D7159E"/>
    <w:rsid w:val="00D71628"/>
    <w:rsid w:val="00D71F24"/>
    <w:rsid w:val="00D723CD"/>
    <w:rsid w:val="00D72B37"/>
    <w:rsid w:val="00D7412D"/>
    <w:rsid w:val="00D741B4"/>
    <w:rsid w:val="00D74A21"/>
    <w:rsid w:val="00D74CCA"/>
    <w:rsid w:val="00D74FCE"/>
    <w:rsid w:val="00D76AAA"/>
    <w:rsid w:val="00D76AC6"/>
    <w:rsid w:val="00D76B15"/>
    <w:rsid w:val="00D76E77"/>
    <w:rsid w:val="00D77CA1"/>
    <w:rsid w:val="00D77F9D"/>
    <w:rsid w:val="00D80768"/>
    <w:rsid w:val="00D813E0"/>
    <w:rsid w:val="00D816A9"/>
    <w:rsid w:val="00D81DC8"/>
    <w:rsid w:val="00D82222"/>
    <w:rsid w:val="00D825CA"/>
    <w:rsid w:val="00D8275E"/>
    <w:rsid w:val="00D82C96"/>
    <w:rsid w:val="00D83303"/>
    <w:rsid w:val="00D839E0"/>
    <w:rsid w:val="00D8462B"/>
    <w:rsid w:val="00D852FA"/>
    <w:rsid w:val="00D858A3"/>
    <w:rsid w:val="00D85A2D"/>
    <w:rsid w:val="00D85F61"/>
    <w:rsid w:val="00D87281"/>
    <w:rsid w:val="00D90541"/>
    <w:rsid w:val="00D915B4"/>
    <w:rsid w:val="00D919EC"/>
    <w:rsid w:val="00D91C33"/>
    <w:rsid w:val="00D91CF8"/>
    <w:rsid w:val="00D92483"/>
    <w:rsid w:val="00D92C76"/>
    <w:rsid w:val="00D930BF"/>
    <w:rsid w:val="00D94CDA"/>
    <w:rsid w:val="00D95317"/>
    <w:rsid w:val="00D95654"/>
    <w:rsid w:val="00D95840"/>
    <w:rsid w:val="00D95C9C"/>
    <w:rsid w:val="00D96926"/>
    <w:rsid w:val="00D96D23"/>
    <w:rsid w:val="00D96DA5"/>
    <w:rsid w:val="00D97465"/>
    <w:rsid w:val="00D9752F"/>
    <w:rsid w:val="00D97AF4"/>
    <w:rsid w:val="00DA00A0"/>
    <w:rsid w:val="00DA01DC"/>
    <w:rsid w:val="00DA05AA"/>
    <w:rsid w:val="00DA388B"/>
    <w:rsid w:val="00DA3F85"/>
    <w:rsid w:val="00DA45E2"/>
    <w:rsid w:val="00DA53D3"/>
    <w:rsid w:val="00DA6229"/>
    <w:rsid w:val="00DA62C9"/>
    <w:rsid w:val="00DA64B9"/>
    <w:rsid w:val="00DA6783"/>
    <w:rsid w:val="00DA6A09"/>
    <w:rsid w:val="00DB069F"/>
    <w:rsid w:val="00DB0A19"/>
    <w:rsid w:val="00DB0A4F"/>
    <w:rsid w:val="00DB161C"/>
    <w:rsid w:val="00DB1B7A"/>
    <w:rsid w:val="00DB1FBF"/>
    <w:rsid w:val="00DB204A"/>
    <w:rsid w:val="00DB2537"/>
    <w:rsid w:val="00DB28C0"/>
    <w:rsid w:val="00DB370A"/>
    <w:rsid w:val="00DB3977"/>
    <w:rsid w:val="00DB3CE8"/>
    <w:rsid w:val="00DB3E5A"/>
    <w:rsid w:val="00DB469C"/>
    <w:rsid w:val="00DB49F4"/>
    <w:rsid w:val="00DB52B2"/>
    <w:rsid w:val="00DB5629"/>
    <w:rsid w:val="00DB686C"/>
    <w:rsid w:val="00DB68C7"/>
    <w:rsid w:val="00DB6C19"/>
    <w:rsid w:val="00DB78CB"/>
    <w:rsid w:val="00DC031A"/>
    <w:rsid w:val="00DC0E78"/>
    <w:rsid w:val="00DC13C7"/>
    <w:rsid w:val="00DC20FB"/>
    <w:rsid w:val="00DC3C1D"/>
    <w:rsid w:val="00DC4993"/>
    <w:rsid w:val="00DC6601"/>
    <w:rsid w:val="00DC663A"/>
    <w:rsid w:val="00DC7D32"/>
    <w:rsid w:val="00DC7DB6"/>
    <w:rsid w:val="00DD0695"/>
    <w:rsid w:val="00DD0DDE"/>
    <w:rsid w:val="00DD0FC5"/>
    <w:rsid w:val="00DD1CF3"/>
    <w:rsid w:val="00DD1F64"/>
    <w:rsid w:val="00DD2ED7"/>
    <w:rsid w:val="00DD2FD5"/>
    <w:rsid w:val="00DD3671"/>
    <w:rsid w:val="00DD36D0"/>
    <w:rsid w:val="00DD5E62"/>
    <w:rsid w:val="00DD5F84"/>
    <w:rsid w:val="00DD61F8"/>
    <w:rsid w:val="00DD6A3E"/>
    <w:rsid w:val="00DD6ABA"/>
    <w:rsid w:val="00DD7397"/>
    <w:rsid w:val="00DD7B81"/>
    <w:rsid w:val="00DD7CD8"/>
    <w:rsid w:val="00DE0385"/>
    <w:rsid w:val="00DE0DB9"/>
    <w:rsid w:val="00DE13CA"/>
    <w:rsid w:val="00DE2737"/>
    <w:rsid w:val="00DE2EEE"/>
    <w:rsid w:val="00DE3A1F"/>
    <w:rsid w:val="00DE4969"/>
    <w:rsid w:val="00DE4A91"/>
    <w:rsid w:val="00DE511F"/>
    <w:rsid w:val="00DE51F4"/>
    <w:rsid w:val="00DE5A02"/>
    <w:rsid w:val="00DE5C7F"/>
    <w:rsid w:val="00DE5F36"/>
    <w:rsid w:val="00DE6244"/>
    <w:rsid w:val="00DE685A"/>
    <w:rsid w:val="00DE68FD"/>
    <w:rsid w:val="00DE6BC7"/>
    <w:rsid w:val="00DE6F0E"/>
    <w:rsid w:val="00DE718A"/>
    <w:rsid w:val="00DE7289"/>
    <w:rsid w:val="00DE7513"/>
    <w:rsid w:val="00DE7535"/>
    <w:rsid w:val="00DE79C6"/>
    <w:rsid w:val="00DF0147"/>
    <w:rsid w:val="00DF016A"/>
    <w:rsid w:val="00DF0367"/>
    <w:rsid w:val="00DF0BF6"/>
    <w:rsid w:val="00DF15C8"/>
    <w:rsid w:val="00DF182E"/>
    <w:rsid w:val="00DF1D15"/>
    <w:rsid w:val="00DF1F61"/>
    <w:rsid w:val="00DF22A2"/>
    <w:rsid w:val="00DF29B1"/>
    <w:rsid w:val="00DF2DAF"/>
    <w:rsid w:val="00DF2ED0"/>
    <w:rsid w:val="00DF312E"/>
    <w:rsid w:val="00DF40DF"/>
    <w:rsid w:val="00DF4954"/>
    <w:rsid w:val="00DF560B"/>
    <w:rsid w:val="00DF58DD"/>
    <w:rsid w:val="00DF5EC6"/>
    <w:rsid w:val="00DF697F"/>
    <w:rsid w:val="00DF6F70"/>
    <w:rsid w:val="00DF76B3"/>
    <w:rsid w:val="00DF772A"/>
    <w:rsid w:val="00DF7BF0"/>
    <w:rsid w:val="00E000A8"/>
    <w:rsid w:val="00E00FF1"/>
    <w:rsid w:val="00E0128B"/>
    <w:rsid w:val="00E01997"/>
    <w:rsid w:val="00E024AB"/>
    <w:rsid w:val="00E02EAE"/>
    <w:rsid w:val="00E0314B"/>
    <w:rsid w:val="00E03177"/>
    <w:rsid w:val="00E03740"/>
    <w:rsid w:val="00E03E3B"/>
    <w:rsid w:val="00E06A40"/>
    <w:rsid w:val="00E06AF3"/>
    <w:rsid w:val="00E0731D"/>
    <w:rsid w:val="00E075E3"/>
    <w:rsid w:val="00E07616"/>
    <w:rsid w:val="00E076CD"/>
    <w:rsid w:val="00E1004C"/>
    <w:rsid w:val="00E10150"/>
    <w:rsid w:val="00E1068F"/>
    <w:rsid w:val="00E107E6"/>
    <w:rsid w:val="00E122F4"/>
    <w:rsid w:val="00E123ED"/>
    <w:rsid w:val="00E12941"/>
    <w:rsid w:val="00E129B3"/>
    <w:rsid w:val="00E12E12"/>
    <w:rsid w:val="00E130E7"/>
    <w:rsid w:val="00E1359E"/>
    <w:rsid w:val="00E13A0D"/>
    <w:rsid w:val="00E15255"/>
    <w:rsid w:val="00E15A61"/>
    <w:rsid w:val="00E15C2D"/>
    <w:rsid w:val="00E16D49"/>
    <w:rsid w:val="00E172AB"/>
    <w:rsid w:val="00E20199"/>
    <w:rsid w:val="00E20ADF"/>
    <w:rsid w:val="00E218EE"/>
    <w:rsid w:val="00E21A27"/>
    <w:rsid w:val="00E21A5A"/>
    <w:rsid w:val="00E21CEE"/>
    <w:rsid w:val="00E22194"/>
    <w:rsid w:val="00E22917"/>
    <w:rsid w:val="00E22998"/>
    <w:rsid w:val="00E22B4E"/>
    <w:rsid w:val="00E231B9"/>
    <w:rsid w:val="00E24737"/>
    <w:rsid w:val="00E24A0F"/>
    <w:rsid w:val="00E25960"/>
    <w:rsid w:val="00E25E45"/>
    <w:rsid w:val="00E262EA"/>
    <w:rsid w:val="00E2655C"/>
    <w:rsid w:val="00E269BA"/>
    <w:rsid w:val="00E269C1"/>
    <w:rsid w:val="00E26DB0"/>
    <w:rsid w:val="00E26FB0"/>
    <w:rsid w:val="00E27524"/>
    <w:rsid w:val="00E279ED"/>
    <w:rsid w:val="00E27E06"/>
    <w:rsid w:val="00E309AE"/>
    <w:rsid w:val="00E30B5E"/>
    <w:rsid w:val="00E30B75"/>
    <w:rsid w:val="00E30D42"/>
    <w:rsid w:val="00E3107F"/>
    <w:rsid w:val="00E3124E"/>
    <w:rsid w:val="00E313A5"/>
    <w:rsid w:val="00E32C6F"/>
    <w:rsid w:val="00E33753"/>
    <w:rsid w:val="00E3376E"/>
    <w:rsid w:val="00E33AFC"/>
    <w:rsid w:val="00E33D71"/>
    <w:rsid w:val="00E34105"/>
    <w:rsid w:val="00E34CD6"/>
    <w:rsid w:val="00E354F2"/>
    <w:rsid w:val="00E3595D"/>
    <w:rsid w:val="00E35DFA"/>
    <w:rsid w:val="00E36066"/>
    <w:rsid w:val="00E362DF"/>
    <w:rsid w:val="00E362FA"/>
    <w:rsid w:val="00E366F2"/>
    <w:rsid w:val="00E36707"/>
    <w:rsid w:val="00E37402"/>
    <w:rsid w:val="00E37548"/>
    <w:rsid w:val="00E37739"/>
    <w:rsid w:val="00E40221"/>
    <w:rsid w:val="00E4083D"/>
    <w:rsid w:val="00E4109B"/>
    <w:rsid w:val="00E41E2F"/>
    <w:rsid w:val="00E42075"/>
    <w:rsid w:val="00E42CF2"/>
    <w:rsid w:val="00E436A1"/>
    <w:rsid w:val="00E43A97"/>
    <w:rsid w:val="00E4416E"/>
    <w:rsid w:val="00E44491"/>
    <w:rsid w:val="00E4481E"/>
    <w:rsid w:val="00E44A2B"/>
    <w:rsid w:val="00E44A7D"/>
    <w:rsid w:val="00E45264"/>
    <w:rsid w:val="00E453E6"/>
    <w:rsid w:val="00E45A89"/>
    <w:rsid w:val="00E45F19"/>
    <w:rsid w:val="00E45FC8"/>
    <w:rsid w:val="00E46207"/>
    <w:rsid w:val="00E4661E"/>
    <w:rsid w:val="00E46D65"/>
    <w:rsid w:val="00E475B5"/>
    <w:rsid w:val="00E50238"/>
    <w:rsid w:val="00E50674"/>
    <w:rsid w:val="00E506FD"/>
    <w:rsid w:val="00E5146F"/>
    <w:rsid w:val="00E517A8"/>
    <w:rsid w:val="00E5188C"/>
    <w:rsid w:val="00E52015"/>
    <w:rsid w:val="00E524AF"/>
    <w:rsid w:val="00E52666"/>
    <w:rsid w:val="00E530F6"/>
    <w:rsid w:val="00E53C66"/>
    <w:rsid w:val="00E53E09"/>
    <w:rsid w:val="00E53EA2"/>
    <w:rsid w:val="00E54BF8"/>
    <w:rsid w:val="00E55987"/>
    <w:rsid w:val="00E55C8C"/>
    <w:rsid w:val="00E566AA"/>
    <w:rsid w:val="00E5676F"/>
    <w:rsid w:val="00E56EEA"/>
    <w:rsid w:val="00E613CF"/>
    <w:rsid w:val="00E61409"/>
    <w:rsid w:val="00E61772"/>
    <w:rsid w:val="00E6248E"/>
    <w:rsid w:val="00E6258F"/>
    <w:rsid w:val="00E62CCC"/>
    <w:rsid w:val="00E62F95"/>
    <w:rsid w:val="00E633B2"/>
    <w:rsid w:val="00E63880"/>
    <w:rsid w:val="00E64293"/>
    <w:rsid w:val="00E64402"/>
    <w:rsid w:val="00E64B99"/>
    <w:rsid w:val="00E64DB8"/>
    <w:rsid w:val="00E6524E"/>
    <w:rsid w:val="00E6691A"/>
    <w:rsid w:val="00E66F82"/>
    <w:rsid w:val="00E67345"/>
    <w:rsid w:val="00E709A4"/>
    <w:rsid w:val="00E70C60"/>
    <w:rsid w:val="00E70F18"/>
    <w:rsid w:val="00E720EA"/>
    <w:rsid w:val="00E72702"/>
    <w:rsid w:val="00E727E2"/>
    <w:rsid w:val="00E73F86"/>
    <w:rsid w:val="00E744BC"/>
    <w:rsid w:val="00E74D77"/>
    <w:rsid w:val="00E74FD3"/>
    <w:rsid w:val="00E752F6"/>
    <w:rsid w:val="00E7577B"/>
    <w:rsid w:val="00E75994"/>
    <w:rsid w:val="00E75BB0"/>
    <w:rsid w:val="00E762DE"/>
    <w:rsid w:val="00E76369"/>
    <w:rsid w:val="00E76A56"/>
    <w:rsid w:val="00E76DCC"/>
    <w:rsid w:val="00E76E2F"/>
    <w:rsid w:val="00E7732E"/>
    <w:rsid w:val="00E778B6"/>
    <w:rsid w:val="00E77FEB"/>
    <w:rsid w:val="00E8039C"/>
    <w:rsid w:val="00E8059E"/>
    <w:rsid w:val="00E81122"/>
    <w:rsid w:val="00E81812"/>
    <w:rsid w:val="00E821B1"/>
    <w:rsid w:val="00E824BF"/>
    <w:rsid w:val="00E82AFA"/>
    <w:rsid w:val="00E82CB9"/>
    <w:rsid w:val="00E82FD7"/>
    <w:rsid w:val="00E83206"/>
    <w:rsid w:val="00E83BD5"/>
    <w:rsid w:val="00E8452D"/>
    <w:rsid w:val="00E848C3"/>
    <w:rsid w:val="00E85FBD"/>
    <w:rsid w:val="00E867AE"/>
    <w:rsid w:val="00E86A0B"/>
    <w:rsid w:val="00E86C1B"/>
    <w:rsid w:val="00E909CE"/>
    <w:rsid w:val="00E91592"/>
    <w:rsid w:val="00E91CEF"/>
    <w:rsid w:val="00E9225E"/>
    <w:rsid w:val="00E925D7"/>
    <w:rsid w:val="00E92A7E"/>
    <w:rsid w:val="00E92C64"/>
    <w:rsid w:val="00E92CFF"/>
    <w:rsid w:val="00E92E00"/>
    <w:rsid w:val="00E92FDF"/>
    <w:rsid w:val="00E93481"/>
    <w:rsid w:val="00E94665"/>
    <w:rsid w:val="00E946F7"/>
    <w:rsid w:val="00E94C4A"/>
    <w:rsid w:val="00E94F5C"/>
    <w:rsid w:val="00E95485"/>
    <w:rsid w:val="00E956B8"/>
    <w:rsid w:val="00E95B77"/>
    <w:rsid w:val="00E9709F"/>
    <w:rsid w:val="00E97345"/>
    <w:rsid w:val="00E97397"/>
    <w:rsid w:val="00E977B4"/>
    <w:rsid w:val="00E97CDC"/>
    <w:rsid w:val="00EA01FB"/>
    <w:rsid w:val="00EA043D"/>
    <w:rsid w:val="00EA0D87"/>
    <w:rsid w:val="00EA1312"/>
    <w:rsid w:val="00EA1624"/>
    <w:rsid w:val="00EA1B9A"/>
    <w:rsid w:val="00EA1F96"/>
    <w:rsid w:val="00EA290A"/>
    <w:rsid w:val="00EA30E1"/>
    <w:rsid w:val="00EA5369"/>
    <w:rsid w:val="00EA54F9"/>
    <w:rsid w:val="00EA55CE"/>
    <w:rsid w:val="00EA6382"/>
    <w:rsid w:val="00EA7925"/>
    <w:rsid w:val="00EA7B17"/>
    <w:rsid w:val="00EB0298"/>
    <w:rsid w:val="00EB062C"/>
    <w:rsid w:val="00EB093B"/>
    <w:rsid w:val="00EB10AD"/>
    <w:rsid w:val="00EB13BA"/>
    <w:rsid w:val="00EB152F"/>
    <w:rsid w:val="00EB1647"/>
    <w:rsid w:val="00EB1740"/>
    <w:rsid w:val="00EB1A77"/>
    <w:rsid w:val="00EB1CA0"/>
    <w:rsid w:val="00EB276C"/>
    <w:rsid w:val="00EB299D"/>
    <w:rsid w:val="00EB2D5A"/>
    <w:rsid w:val="00EB2EA6"/>
    <w:rsid w:val="00EB304F"/>
    <w:rsid w:val="00EB31BD"/>
    <w:rsid w:val="00EB3486"/>
    <w:rsid w:val="00EB3548"/>
    <w:rsid w:val="00EB37E9"/>
    <w:rsid w:val="00EB3C50"/>
    <w:rsid w:val="00EB3D1C"/>
    <w:rsid w:val="00EB4185"/>
    <w:rsid w:val="00EB4562"/>
    <w:rsid w:val="00EB4576"/>
    <w:rsid w:val="00EB4ACC"/>
    <w:rsid w:val="00EB5991"/>
    <w:rsid w:val="00EB5A88"/>
    <w:rsid w:val="00EB5B21"/>
    <w:rsid w:val="00EB5B40"/>
    <w:rsid w:val="00EB5B91"/>
    <w:rsid w:val="00EB5CDC"/>
    <w:rsid w:val="00EB6BC4"/>
    <w:rsid w:val="00EB6FA6"/>
    <w:rsid w:val="00EB7599"/>
    <w:rsid w:val="00EC07BE"/>
    <w:rsid w:val="00EC0846"/>
    <w:rsid w:val="00EC10BE"/>
    <w:rsid w:val="00EC2124"/>
    <w:rsid w:val="00EC2816"/>
    <w:rsid w:val="00EC308C"/>
    <w:rsid w:val="00EC347A"/>
    <w:rsid w:val="00EC4321"/>
    <w:rsid w:val="00EC47A8"/>
    <w:rsid w:val="00EC4B0A"/>
    <w:rsid w:val="00EC603E"/>
    <w:rsid w:val="00EC6E73"/>
    <w:rsid w:val="00EC6F8C"/>
    <w:rsid w:val="00EC789B"/>
    <w:rsid w:val="00EC792E"/>
    <w:rsid w:val="00ED18B9"/>
    <w:rsid w:val="00ED2305"/>
    <w:rsid w:val="00ED244A"/>
    <w:rsid w:val="00ED3D73"/>
    <w:rsid w:val="00ED43D3"/>
    <w:rsid w:val="00ED4463"/>
    <w:rsid w:val="00ED44D6"/>
    <w:rsid w:val="00ED46CD"/>
    <w:rsid w:val="00ED615C"/>
    <w:rsid w:val="00ED68FC"/>
    <w:rsid w:val="00ED7693"/>
    <w:rsid w:val="00ED7BCE"/>
    <w:rsid w:val="00EE1AD2"/>
    <w:rsid w:val="00EE2037"/>
    <w:rsid w:val="00EE268E"/>
    <w:rsid w:val="00EE2C2E"/>
    <w:rsid w:val="00EE2ECE"/>
    <w:rsid w:val="00EE3119"/>
    <w:rsid w:val="00EE3177"/>
    <w:rsid w:val="00EE3831"/>
    <w:rsid w:val="00EE38D6"/>
    <w:rsid w:val="00EE3E06"/>
    <w:rsid w:val="00EE4304"/>
    <w:rsid w:val="00EE56DF"/>
    <w:rsid w:val="00EE57C4"/>
    <w:rsid w:val="00EE5A6D"/>
    <w:rsid w:val="00EE5F5C"/>
    <w:rsid w:val="00EE6867"/>
    <w:rsid w:val="00EE6991"/>
    <w:rsid w:val="00EE6A28"/>
    <w:rsid w:val="00EE6DDC"/>
    <w:rsid w:val="00EE7751"/>
    <w:rsid w:val="00EF1558"/>
    <w:rsid w:val="00EF1894"/>
    <w:rsid w:val="00EF2677"/>
    <w:rsid w:val="00EF33A3"/>
    <w:rsid w:val="00EF3A5A"/>
    <w:rsid w:val="00EF3B4F"/>
    <w:rsid w:val="00EF4068"/>
    <w:rsid w:val="00EF43A6"/>
    <w:rsid w:val="00EF4D65"/>
    <w:rsid w:val="00EF5E39"/>
    <w:rsid w:val="00EF6223"/>
    <w:rsid w:val="00EF7278"/>
    <w:rsid w:val="00EF79F0"/>
    <w:rsid w:val="00F006DB"/>
    <w:rsid w:val="00F00A89"/>
    <w:rsid w:val="00F01078"/>
    <w:rsid w:val="00F0272F"/>
    <w:rsid w:val="00F0295B"/>
    <w:rsid w:val="00F043C7"/>
    <w:rsid w:val="00F04584"/>
    <w:rsid w:val="00F047F6"/>
    <w:rsid w:val="00F055EA"/>
    <w:rsid w:val="00F0589A"/>
    <w:rsid w:val="00F061AD"/>
    <w:rsid w:val="00F06241"/>
    <w:rsid w:val="00F063DB"/>
    <w:rsid w:val="00F0718B"/>
    <w:rsid w:val="00F07307"/>
    <w:rsid w:val="00F10A53"/>
    <w:rsid w:val="00F10C95"/>
    <w:rsid w:val="00F10E10"/>
    <w:rsid w:val="00F11EF3"/>
    <w:rsid w:val="00F1284C"/>
    <w:rsid w:val="00F12E4F"/>
    <w:rsid w:val="00F12F7F"/>
    <w:rsid w:val="00F13299"/>
    <w:rsid w:val="00F141CF"/>
    <w:rsid w:val="00F14955"/>
    <w:rsid w:val="00F15209"/>
    <w:rsid w:val="00F15E47"/>
    <w:rsid w:val="00F162E8"/>
    <w:rsid w:val="00F16ED1"/>
    <w:rsid w:val="00F20213"/>
    <w:rsid w:val="00F2096A"/>
    <w:rsid w:val="00F20A40"/>
    <w:rsid w:val="00F22146"/>
    <w:rsid w:val="00F22386"/>
    <w:rsid w:val="00F2242C"/>
    <w:rsid w:val="00F228EA"/>
    <w:rsid w:val="00F22D86"/>
    <w:rsid w:val="00F23404"/>
    <w:rsid w:val="00F23C14"/>
    <w:rsid w:val="00F23CD2"/>
    <w:rsid w:val="00F23D81"/>
    <w:rsid w:val="00F24687"/>
    <w:rsid w:val="00F247C8"/>
    <w:rsid w:val="00F24E86"/>
    <w:rsid w:val="00F24FD6"/>
    <w:rsid w:val="00F25212"/>
    <w:rsid w:val="00F25248"/>
    <w:rsid w:val="00F254E9"/>
    <w:rsid w:val="00F2558C"/>
    <w:rsid w:val="00F26F54"/>
    <w:rsid w:val="00F270E1"/>
    <w:rsid w:val="00F304FB"/>
    <w:rsid w:val="00F30736"/>
    <w:rsid w:val="00F31943"/>
    <w:rsid w:val="00F31C9B"/>
    <w:rsid w:val="00F32415"/>
    <w:rsid w:val="00F32C9E"/>
    <w:rsid w:val="00F32CC7"/>
    <w:rsid w:val="00F33384"/>
    <w:rsid w:val="00F33566"/>
    <w:rsid w:val="00F3444C"/>
    <w:rsid w:val="00F36FBE"/>
    <w:rsid w:val="00F37461"/>
    <w:rsid w:val="00F377EC"/>
    <w:rsid w:val="00F37977"/>
    <w:rsid w:val="00F37D15"/>
    <w:rsid w:val="00F401BD"/>
    <w:rsid w:val="00F40A0C"/>
    <w:rsid w:val="00F40B95"/>
    <w:rsid w:val="00F41549"/>
    <w:rsid w:val="00F42824"/>
    <w:rsid w:val="00F433D4"/>
    <w:rsid w:val="00F433E8"/>
    <w:rsid w:val="00F43515"/>
    <w:rsid w:val="00F45258"/>
    <w:rsid w:val="00F4722F"/>
    <w:rsid w:val="00F477C3"/>
    <w:rsid w:val="00F503EA"/>
    <w:rsid w:val="00F50843"/>
    <w:rsid w:val="00F50F5E"/>
    <w:rsid w:val="00F5126E"/>
    <w:rsid w:val="00F513A7"/>
    <w:rsid w:val="00F51ADE"/>
    <w:rsid w:val="00F5209B"/>
    <w:rsid w:val="00F5219D"/>
    <w:rsid w:val="00F527F7"/>
    <w:rsid w:val="00F5346D"/>
    <w:rsid w:val="00F5376D"/>
    <w:rsid w:val="00F538A1"/>
    <w:rsid w:val="00F539F8"/>
    <w:rsid w:val="00F53C06"/>
    <w:rsid w:val="00F5438B"/>
    <w:rsid w:val="00F5456B"/>
    <w:rsid w:val="00F548F7"/>
    <w:rsid w:val="00F56336"/>
    <w:rsid w:val="00F56CAB"/>
    <w:rsid w:val="00F57C7D"/>
    <w:rsid w:val="00F606DD"/>
    <w:rsid w:val="00F614EB"/>
    <w:rsid w:val="00F61886"/>
    <w:rsid w:val="00F62E57"/>
    <w:rsid w:val="00F63D6E"/>
    <w:rsid w:val="00F64176"/>
    <w:rsid w:val="00F6541D"/>
    <w:rsid w:val="00F66DBB"/>
    <w:rsid w:val="00F67B75"/>
    <w:rsid w:val="00F70B79"/>
    <w:rsid w:val="00F70F78"/>
    <w:rsid w:val="00F71434"/>
    <w:rsid w:val="00F71742"/>
    <w:rsid w:val="00F72282"/>
    <w:rsid w:val="00F72723"/>
    <w:rsid w:val="00F72C65"/>
    <w:rsid w:val="00F72CE7"/>
    <w:rsid w:val="00F737AB"/>
    <w:rsid w:val="00F73BD1"/>
    <w:rsid w:val="00F73C8F"/>
    <w:rsid w:val="00F73D9A"/>
    <w:rsid w:val="00F7472F"/>
    <w:rsid w:val="00F749DA"/>
    <w:rsid w:val="00F75658"/>
    <w:rsid w:val="00F76E4A"/>
    <w:rsid w:val="00F7794F"/>
    <w:rsid w:val="00F77EB7"/>
    <w:rsid w:val="00F81024"/>
    <w:rsid w:val="00F8171E"/>
    <w:rsid w:val="00F84087"/>
    <w:rsid w:val="00F84AD7"/>
    <w:rsid w:val="00F867A9"/>
    <w:rsid w:val="00F871D1"/>
    <w:rsid w:val="00F87515"/>
    <w:rsid w:val="00F90E08"/>
    <w:rsid w:val="00F910E1"/>
    <w:rsid w:val="00F92BB0"/>
    <w:rsid w:val="00F93A98"/>
    <w:rsid w:val="00F93B68"/>
    <w:rsid w:val="00F94042"/>
    <w:rsid w:val="00F94864"/>
    <w:rsid w:val="00F94D0D"/>
    <w:rsid w:val="00F95335"/>
    <w:rsid w:val="00F9558E"/>
    <w:rsid w:val="00F95651"/>
    <w:rsid w:val="00F95D98"/>
    <w:rsid w:val="00F95E8A"/>
    <w:rsid w:val="00F95ECF"/>
    <w:rsid w:val="00F96E7B"/>
    <w:rsid w:val="00F97035"/>
    <w:rsid w:val="00F97442"/>
    <w:rsid w:val="00F9755C"/>
    <w:rsid w:val="00F97649"/>
    <w:rsid w:val="00F97BAE"/>
    <w:rsid w:val="00FA0044"/>
    <w:rsid w:val="00FA09C7"/>
    <w:rsid w:val="00FA0A29"/>
    <w:rsid w:val="00FA0EE8"/>
    <w:rsid w:val="00FA179B"/>
    <w:rsid w:val="00FA2256"/>
    <w:rsid w:val="00FA2ED0"/>
    <w:rsid w:val="00FA3A80"/>
    <w:rsid w:val="00FA3AC0"/>
    <w:rsid w:val="00FA4017"/>
    <w:rsid w:val="00FA50E2"/>
    <w:rsid w:val="00FA530F"/>
    <w:rsid w:val="00FA56BE"/>
    <w:rsid w:val="00FA584B"/>
    <w:rsid w:val="00FA5EDB"/>
    <w:rsid w:val="00FA62C1"/>
    <w:rsid w:val="00FA7C82"/>
    <w:rsid w:val="00FA7CE9"/>
    <w:rsid w:val="00FA7D9F"/>
    <w:rsid w:val="00FA7E61"/>
    <w:rsid w:val="00FB0538"/>
    <w:rsid w:val="00FB102A"/>
    <w:rsid w:val="00FB174D"/>
    <w:rsid w:val="00FB1A7A"/>
    <w:rsid w:val="00FB25C2"/>
    <w:rsid w:val="00FB2D07"/>
    <w:rsid w:val="00FB3C18"/>
    <w:rsid w:val="00FB3EFF"/>
    <w:rsid w:val="00FB468D"/>
    <w:rsid w:val="00FB4E48"/>
    <w:rsid w:val="00FB4FD4"/>
    <w:rsid w:val="00FB4FF6"/>
    <w:rsid w:val="00FB5B82"/>
    <w:rsid w:val="00FB6E9F"/>
    <w:rsid w:val="00FB750C"/>
    <w:rsid w:val="00FC04B5"/>
    <w:rsid w:val="00FC09BA"/>
    <w:rsid w:val="00FC0A2D"/>
    <w:rsid w:val="00FC11DE"/>
    <w:rsid w:val="00FC1450"/>
    <w:rsid w:val="00FC160D"/>
    <w:rsid w:val="00FC20F8"/>
    <w:rsid w:val="00FC26C8"/>
    <w:rsid w:val="00FC36E8"/>
    <w:rsid w:val="00FC4104"/>
    <w:rsid w:val="00FC4691"/>
    <w:rsid w:val="00FC49FC"/>
    <w:rsid w:val="00FC5365"/>
    <w:rsid w:val="00FC5A14"/>
    <w:rsid w:val="00FC7174"/>
    <w:rsid w:val="00FC79D6"/>
    <w:rsid w:val="00FD052E"/>
    <w:rsid w:val="00FD0CD4"/>
    <w:rsid w:val="00FD0F83"/>
    <w:rsid w:val="00FD12AB"/>
    <w:rsid w:val="00FD1323"/>
    <w:rsid w:val="00FD1476"/>
    <w:rsid w:val="00FD1802"/>
    <w:rsid w:val="00FD24CE"/>
    <w:rsid w:val="00FD31E3"/>
    <w:rsid w:val="00FD4391"/>
    <w:rsid w:val="00FD5348"/>
    <w:rsid w:val="00FD71B9"/>
    <w:rsid w:val="00FD777E"/>
    <w:rsid w:val="00FD7F6D"/>
    <w:rsid w:val="00FE0115"/>
    <w:rsid w:val="00FE03AC"/>
    <w:rsid w:val="00FE066C"/>
    <w:rsid w:val="00FE0F1F"/>
    <w:rsid w:val="00FE194A"/>
    <w:rsid w:val="00FE19DA"/>
    <w:rsid w:val="00FE2304"/>
    <w:rsid w:val="00FE2754"/>
    <w:rsid w:val="00FE2EB7"/>
    <w:rsid w:val="00FE43D2"/>
    <w:rsid w:val="00FE4DD0"/>
    <w:rsid w:val="00FE4DFE"/>
    <w:rsid w:val="00FE533E"/>
    <w:rsid w:val="00FE53A3"/>
    <w:rsid w:val="00FE5D5D"/>
    <w:rsid w:val="00FE64B4"/>
    <w:rsid w:val="00FE657A"/>
    <w:rsid w:val="00FE6681"/>
    <w:rsid w:val="00FE69BF"/>
    <w:rsid w:val="00FE6E66"/>
    <w:rsid w:val="00FF0898"/>
    <w:rsid w:val="00FF1113"/>
    <w:rsid w:val="00FF1266"/>
    <w:rsid w:val="00FF170A"/>
    <w:rsid w:val="00FF1A62"/>
    <w:rsid w:val="00FF1FB4"/>
    <w:rsid w:val="00FF217F"/>
    <w:rsid w:val="00FF244A"/>
    <w:rsid w:val="00FF29FA"/>
    <w:rsid w:val="00FF2A15"/>
    <w:rsid w:val="00FF3057"/>
    <w:rsid w:val="00FF3064"/>
    <w:rsid w:val="00FF30BF"/>
    <w:rsid w:val="00FF378A"/>
    <w:rsid w:val="00FF38B0"/>
    <w:rsid w:val="00FF38B2"/>
    <w:rsid w:val="00FF48F3"/>
    <w:rsid w:val="00FF4BF7"/>
    <w:rsid w:val="00FF5A2E"/>
    <w:rsid w:val="00FF6A47"/>
    <w:rsid w:val="00FF7162"/>
    <w:rsid w:val="00FF7206"/>
    <w:rsid w:val="00FF7AA8"/>
    <w:rsid w:val="00FF7C83"/>
    <w:rsid w:val="00FF7E23"/>
    <w:rsid w:val="00FF7E4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D99"/>
    <w:pPr>
      <w:tabs>
        <w:tab w:val="center" w:pos="4153"/>
        <w:tab w:val="right" w:pos="8306"/>
      </w:tabs>
      <w:spacing w:after="0" w:line="240" w:lineRule="auto"/>
    </w:pPr>
  </w:style>
  <w:style w:type="character" w:customStyle="1" w:styleId="Char">
    <w:name w:val="Κεφαλίδα Char"/>
    <w:basedOn w:val="a0"/>
    <w:link w:val="a3"/>
    <w:uiPriority w:val="99"/>
    <w:rsid w:val="00846D99"/>
  </w:style>
  <w:style w:type="paragraph" w:styleId="a4">
    <w:name w:val="footer"/>
    <w:basedOn w:val="a"/>
    <w:link w:val="Char0"/>
    <w:uiPriority w:val="99"/>
    <w:unhideWhenUsed/>
    <w:rsid w:val="00846D99"/>
    <w:pPr>
      <w:tabs>
        <w:tab w:val="center" w:pos="4153"/>
        <w:tab w:val="right" w:pos="8306"/>
      </w:tabs>
      <w:spacing w:after="0" w:line="240" w:lineRule="auto"/>
    </w:pPr>
  </w:style>
  <w:style w:type="character" w:customStyle="1" w:styleId="Char0">
    <w:name w:val="Υποσέλιδο Char"/>
    <w:basedOn w:val="a0"/>
    <w:link w:val="a4"/>
    <w:uiPriority w:val="99"/>
    <w:rsid w:val="00846D99"/>
  </w:style>
  <w:style w:type="paragraph" w:styleId="a5">
    <w:name w:val="Balloon Text"/>
    <w:basedOn w:val="a"/>
    <w:link w:val="Char1"/>
    <w:uiPriority w:val="99"/>
    <w:semiHidden/>
    <w:unhideWhenUsed/>
    <w:rsid w:val="00846D99"/>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46D99"/>
    <w:rPr>
      <w:rFonts w:ascii="Tahoma" w:hAnsi="Tahoma" w:cs="Tahoma"/>
      <w:sz w:val="16"/>
      <w:szCs w:val="16"/>
    </w:rPr>
  </w:style>
  <w:style w:type="table" w:styleId="a6">
    <w:name w:val="Table Grid"/>
    <w:basedOn w:val="a1"/>
    <w:uiPriority w:val="59"/>
    <w:rsid w:val="000F1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0321D"/>
    <w:rPr>
      <w:color w:val="0000FF" w:themeColor="hyperlink"/>
      <w:u w:val="single"/>
    </w:rPr>
  </w:style>
  <w:style w:type="character" w:styleId="a7">
    <w:name w:val="Strong"/>
    <w:basedOn w:val="a0"/>
    <w:uiPriority w:val="22"/>
    <w:qFormat/>
    <w:rsid w:val="0040321D"/>
    <w:rPr>
      <w:b/>
      <w:bCs/>
    </w:rPr>
  </w:style>
  <w:style w:type="paragraph" w:styleId="a8">
    <w:name w:val="List Paragraph"/>
    <w:basedOn w:val="a"/>
    <w:uiPriority w:val="34"/>
    <w:qFormat/>
    <w:rsid w:val="00775BE6"/>
    <w:pPr>
      <w:ind w:left="720"/>
      <w:contextualSpacing/>
    </w:pPr>
  </w:style>
  <w:style w:type="table" w:styleId="-1">
    <w:name w:val="Light Shading Accent 1"/>
    <w:basedOn w:val="a1"/>
    <w:uiPriority w:val="60"/>
    <w:rsid w:val="00AE6F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pagetitle1">
    <w:name w:val="pagetitle1"/>
    <w:basedOn w:val="a0"/>
    <w:rsid w:val="00623EA1"/>
    <w:rPr>
      <w:rFonts w:ascii="Georgia" w:hAnsi="Georgia" w:hint="default"/>
      <w:b/>
      <w:bCs/>
      <w:color w:val="00ADEF"/>
      <w:sz w:val="21"/>
      <w:szCs w:val="21"/>
    </w:rPr>
  </w:style>
  <w:style w:type="paragraph" w:styleId="Web">
    <w:name w:val="Normal (Web)"/>
    <w:basedOn w:val="a"/>
    <w:uiPriority w:val="99"/>
    <w:unhideWhenUsed/>
    <w:rsid w:val="00623EA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A22DBD"/>
    <w:rPr>
      <w:i/>
      <w:iCs/>
    </w:rPr>
  </w:style>
  <w:style w:type="paragraph" w:styleId="aa">
    <w:name w:val="footnote text"/>
    <w:basedOn w:val="a"/>
    <w:link w:val="Char2"/>
    <w:uiPriority w:val="99"/>
    <w:semiHidden/>
    <w:unhideWhenUsed/>
    <w:rsid w:val="007E132B"/>
    <w:pPr>
      <w:spacing w:after="0" w:line="240" w:lineRule="auto"/>
    </w:pPr>
    <w:rPr>
      <w:sz w:val="20"/>
      <w:szCs w:val="20"/>
    </w:rPr>
  </w:style>
  <w:style w:type="character" w:customStyle="1" w:styleId="Char2">
    <w:name w:val="Κείμενο υποσημείωσης Char"/>
    <w:basedOn w:val="a0"/>
    <w:link w:val="aa"/>
    <w:uiPriority w:val="99"/>
    <w:semiHidden/>
    <w:rsid w:val="007E132B"/>
    <w:rPr>
      <w:sz w:val="20"/>
      <w:szCs w:val="20"/>
    </w:rPr>
  </w:style>
  <w:style w:type="character" w:styleId="ab">
    <w:name w:val="footnote reference"/>
    <w:basedOn w:val="a0"/>
    <w:uiPriority w:val="99"/>
    <w:semiHidden/>
    <w:unhideWhenUsed/>
    <w:rsid w:val="007E132B"/>
    <w:rPr>
      <w:vertAlign w:val="superscript"/>
    </w:rPr>
  </w:style>
  <w:style w:type="character" w:styleId="-0">
    <w:name w:val="FollowedHyperlink"/>
    <w:basedOn w:val="a0"/>
    <w:uiPriority w:val="99"/>
    <w:semiHidden/>
    <w:unhideWhenUsed/>
    <w:rsid w:val="00C20A95"/>
    <w:rPr>
      <w:color w:val="800080" w:themeColor="followedHyperlink"/>
      <w:u w:val="single"/>
    </w:rPr>
  </w:style>
  <w:style w:type="character" w:styleId="ac">
    <w:name w:val="annotation reference"/>
    <w:basedOn w:val="a0"/>
    <w:uiPriority w:val="99"/>
    <w:semiHidden/>
    <w:unhideWhenUsed/>
    <w:rsid w:val="005242D7"/>
    <w:rPr>
      <w:sz w:val="16"/>
      <w:szCs w:val="16"/>
    </w:rPr>
  </w:style>
  <w:style w:type="paragraph" w:styleId="ad">
    <w:name w:val="annotation text"/>
    <w:basedOn w:val="a"/>
    <w:link w:val="Char3"/>
    <w:uiPriority w:val="99"/>
    <w:semiHidden/>
    <w:unhideWhenUsed/>
    <w:rsid w:val="005242D7"/>
    <w:pPr>
      <w:spacing w:line="240" w:lineRule="auto"/>
    </w:pPr>
    <w:rPr>
      <w:sz w:val="20"/>
      <w:szCs w:val="20"/>
    </w:rPr>
  </w:style>
  <w:style w:type="character" w:customStyle="1" w:styleId="Char3">
    <w:name w:val="Κείμενο σχολίου Char"/>
    <w:basedOn w:val="a0"/>
    <w:link w:val="ad"/>
    <w:uiPriority w:val="99"/>
    <w:semiHidden/>
    <w:rsid w:val="005242D7"/>
    <w:rPr>
      <w:sz w:val="20"/>
      <w:szCs w:val="20"/>
    </w:rPr>
  </w:style>
  <w:style w:type="paragraph" w:styleId="ae">
    <w:name w:val="annotation subject"/>
    <w:basedOn w:val="ad"/>
    <w:next w:val="ad"/>
    <w:link w:val="Char4"/>
    <w:uiPriority w:val="99"/>
    <w:semiHidden/>
    <w:unhideWhenUsed/>
    <w:rsid w:val="005242D7"/>
    <w:rPr>
      <w:b/>
      <w:bCs/>
    </w:rPr>
  </w:style>
  <w:style w:type="character" w:customStyle="1" w:styleId="Char4">
    <w:name w:val="Θέμα σχολίου Char"/>
    <w:basedOn w:val="Char3"/>
    <w:link w:val="ae"/>
    <w:uiPriority w:val="99"/>
    <w:semiHidden/>
    <w:rsid w:val="005242D7"/>
    <w:rPr>
      <w:b/>
      <w:bCs/>
      <w:sz w:val="20"/>
      <w:szCs w:val="20"/>
    </w:rPr>
  </w:style>
  <w:style w:type="character" w:customStyle="1" w:styleId="bog-bodytext1">
    <w:name w:val="bog-bodytext1"/>
    <w:basedOn w:val="a0"/>
    <w:rsid w:val="00686CA8"/>
    <w:rPr>
      <w:rFonts w:ascii="Tahoma" w:hAnsi="Tahoma" w:cs="Tahoma" w:hint="default"/>
      <w:color w:val="000000"/>
    </w:rPr>
  </w:style>
  <w:style w:type="character" w:styleId="af">
    <w:name w:val="Placeholder Text"/>
    <w:basedOn w:val="a0"/>
    <w:uiPriority w:val="99"/>
    <w:semiHidden/>
    <w:rsid w:val="005708AD"/>
    <w:rPr>
      <w:color w:val="808080"/>
    </w:rPr>
  </w:style>
  <w:style w:type="paragraph" w:styleId="af0">
    <w:name w:val="caption"/>
    <w:basedOn w:val="a"/>
    <w:next w:val="a"/>
    <w:uiPriority w:val="35"/>
    <w:semiHidden/>
    <w:unhideWhenUsed/>
    <w:qFormat/>
    <w:rsid w:val="00E56EEA"/>
    <w:pPr>
      <w:spacing w:line="240" w:lineRule="auto"/>
    </w:pPr>
    <w:rPr>
      <w:b/>
      <w:bCs/>
      <w:color w:val="4F81BD" w:themeColor="accent1"/>
      <w:sz w:val="18"/>
      <w:szCs w:val="18"/>
    </w:rPr>
  </w:style>
  <w:style w:type="paragraph" w:styleId="af1">
    <w:name w:val="Revision"/>
    <w:hidden/>
    <w:uiPriority w:val="99"/>
    <w:semiHidden/>
    <w:rsid w:val="009C4CDA"/>
    <w:pPr>
      <w:spacing w:after="0" w:line="240" w:lineRule="auto"/>
    </w:pPr>
  </w:style>
  <w:style w:type="table" w:customStyle="1" w:styleId="LightShading-Accent11">
    <w:name w:val="Light Shading - Accent 11"/>
    <w:basedOn w:val="a1"/>
    <w:uiPriority w:val="60"/>
    <w:rsid w:val="0001419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2Accent5">
    <w:name w:val="List Table 2 Accent 5"/>
    <w:basedOn w:val="a1"/>
    <w:uiPriority w:val="47"/>
    <w:rsid w:val="003A7EB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
    <w:name w:val="List Table 2 Accent 1"/>
    <w:basedOn w:val="a1"/>
    <w:uiPriority w:val="47"/>
    <w:rsid w:val="003A7EB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
    <w:name w:val="List Table 4 Accent 1"/>
    <w:basedOn w:val="a1"/>
    <w:uiPriority w:val="49"/>
    <w:rsid w:val="002366E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5">
    <w:name w:val="List Table 4 Accent 5"/>
    <w:basedOn w:val="a1"/>
    <w:uiPriority w:val="49"/>
    <w:rsid w:val="00BC4EC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D99"/>
    <w:pPr>
      <w:tabs>
        <w:tab w:val="center" w:pos="4153"/>
        <w:tab w:val="right" w:pos="8306"/>
      </w:tabs>
      <w:spacing w:after="0" w:line="240" w:lineRule="auto"/>
    </w:pPr>
  </w:style>
  <w:style w:type="character" w:customStyle="1" w:styleId="Char">
    <w:name w:val="Κεφαλίδα Char"/>
    <w:basedOn w:val="a0"/>
    <w:link w:val="a3"/>
    <w:uiPriority w:val="99"/>
    <w:rsid w:val="00846D99"/>
  </w:style>
  <w:style w:type="paragraph" w:styleId="a4">
    <w:name w:val="footer"/>
    <w:basedOn w:val="a"/>
    <w:link w:val="Char0"/>
    <w:uiPriority w:val="99"/>
    <w:unhideWhenUsed/>
    <w:rsid w:val="00846D99"/>
    <w:pPr>
      <w:tabs>
        <w:tab w:val="center" w:pos="4153"/>
        <w:tab w:val="right" w:pos="8306"/>
      </w:tabs>
      <w:spacing w:after="0" w:line="240" w:lineRule="auto"/>
    </w:pPr>
  </w:style>
  <w:style w:type="character" w:customStyle="1" w:styleId="Char0">
    <w:name w:val="Υποσέλιδο Char"/>
    <w:basedOn w:val="a0"/>
    <w:link w:val="a4"/>
    <w:uiPriority w:val="99"/>
    <w:rsid w:val="00846D99"/>
  </w:style>
  <w:style w:type="paragraph" w:styleId="a5">
    <w:name w:val="Balloon Text"/>
    <w:basedOn w:val="a"/>
    <w:link w:val="Char1"/>
    <w:uiPriority w:val="99"/>
    <w:semiHidden/>
    <w:unhideWhenUsed/>
    <w:rsid w:val="00846D99"/>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46D99"/>
    <w:rPr>
      <w:rFonts w:ascii="Tahoma" w:hAnsi="Tahoma" w:cs="Tahoma"/>
      <w:sz w:val="16"/>
      <w:szCs w:val="16"/>
    </w:rPr>
  </w:style>
  <w:style w:type="table" w:styleId="a6">
    <w:name w:val="Table Grid"/>
    <w:basedOn w:val="a1"/>
    <w:uiPriority w:val="59"/>
    <w:rsid w:val="000F1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0321D"/>
    <w:rPr>
      <w:color w:val="0000FF" w:themeColor="hyperlink"/>
      <w:u w:val="single"/>
    </w:rPr>
  </w:style>
  <w:style w:type="character" w:styleId="a7">
    <w:name w:val="Strong"/>
    <w:basedOn w:val="a0"/>
    <w:uiPriority w:val="22"/>
    <w:qFormat/>
    <w:rsid w:val="0040321D"/>
    <w:rPr>
      <w:b/>
      <w:bCs/>
    </w:rPr>
  </w:style>
  <w:style w:type="paragraph" w:styleId="a8">
    <w:name w:val="List Paragraph"/>
    <w:basedOn w:val="a"/>
    <w:uiPriority w:val="34"/>
    <w:qFormat/>
    <w:rsid w:val="00775BE6"/>
    <w:pPr>
      <w:ind w:left="720"/>
      <w:contextualSpacing/>
    </w:pPr>
  </w:style>
  <w:style w:type="table" w:styleId="-1">
    <w:name w:val="Light Shading Accent 1"/>
    <w:basedOn w:val="a1"/>
    <w:uiPriority w:val="60"/>
    <w:rsid w:val="00AE6F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pagetitle1">
    <w:name w:val="pagetitle1"/>
    <w:basedOn w:val="a0"/>
    <w:rsid w:val="00623EA1"/>
    <w:rPr>
      <w:rFonts w:ascii="Georgia" w:hAnsi="Georgia" w:hint="default"/>
      <w:b/>
      <w:bCs/>
      <w:color w:val="00ADEF"/>
      <w:sz w:val="21"/>
      <w:szCs w:val="21"/>
    </w:rPr>
  </w:style>
  <w:style w:type="paragraph" w:styleId="Web">
    <w:name w:val="Normal (Web)"/>
    <w:basedOn w:val="a"/>
    <w:uiPriority w:val="99"/>
    <w:unhideWhenUsed/>
    <w:rsid w:val="00623EA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A22DBD"/>
    <w:rPr>
      <w:i/>
      <w:iCs/>
    </w:rPr>
  </w:style>
  <w:style w:type="paragraph" w:styleId="aa">
    <w:name w:val="footnote text"/>
    <w:basedOn w:val="a"/>
    <w:link w:val="Char2"/>
    <w:uiPriority w:val="99"/>
    <w:semiHidden/>
    <w:unhideWhenUsed/>
    <w:rsid w:val="007E132B"/>
    <w:pPr>
      <w:spacing w:after="0" w:line="240" w:lineRule="auto"/>
    </w:pPr>
    <w:rPr>
      <w:sz w:val="20"/>
      <w:szCs w:val="20"/>
    </w:rPr>
  </w:style>
  <w:style w:type="character" w:customStyle="1" w:styleId="Char2">
    <w:name w:val="Κείμενο υποσημείωσης Char"/>
    <w:basedOn w:val="a0"/>
    <w:link w:val="aa"/>
    <w:uiPriority w:val="99"/>
    <w:semiHidden/>
    <w:rsid w:val="007E132B"/>
    <w:rPr>
      <w:sz w:val="20"/>
      <w:szCs w:val="20"/>
    </w:rPr>
  </w:style>
  <w:style w:type="character" w:styleId="ab">
    <w:name w:val="footnote reference"/>
    <w:basedOn w:val="a0"/>
    <w:uiPriority w:val="99"/>
    <w:semiHidden/>
    <w:unhideWhenUsed/>
    <w:rsid w:val="007E132B"/>
    <w:rPr>
      <w:vertAlign w:val="superscript"/>
    </w:rPr>
  </w:style>
  <w:style w:type="character" w:styleId="-0">
    <w:name w:val="FollowedHyperlink"/>
    <w:basedOn w:val="a0"/>
    <w:uiPriority w:val="99"/>
    <w:semiHidden/>
    <w:unhideWhenUsed/>
    <w:rsid w:val="00C20A95"/>
    <w:rPr>
      <w:color w:val="800080" w:themeColor="followedHyperlink"/>
      <w:u w:val="single"/>
    </w:rPr>
  </w:style>
  <w:style w:type="character" w:styleId="ac">
    <w:name w:val="annotation reference"/>
    <w:basedOn w:val="a0"/>
    <w:uiPriority w:val="99"/>
    <w:semiHidden/>
    <w:unhideWhenUsed/>
    <w:rsid w:val="005242D7"/>
    <w:rPr>
      <w:sz w:val="16"/>
      <w:szCs w:val="16"/>
    </w:rPr>
  </w:style>
  <w:style w:type="paragraph" w:styleId="ad">
    <w:name w:val="annotation text"/>
    <w:basedOn w:val="a"/>
    <w:link w:val="Char3"/>
    <w:uiPriority w:val="99"/>
    <w:semiHidden/>
    <w:unhideWhenUsed/>
    <w:rsid w:val="005242D7"/>
    <w:pPr>
      <w:spacing w:line="240" w:lineRule="auto"/>
    </w:pPr>
    <w:rPr>
      <w:sz w:val="20"/>
      <w:szCs w:val="20"/>
    </w:rPr>
  </w:style>
  <w:style w:type="character" w:customStyle="1" w:styleId="Char3">
    <w:name w:val="Κείμενο σχολίου Char"/>
    <w:basedOn w:val="a0"/>
    <w:link w:val="ad"/>
    <w:uiPriority w:val="99"/>
    <w:semiHidden/>
    <w:rsid w:val="005242D7"/>
    <w:rPr>
      <w:sz w:val="20"/>
      <w:szCs w:val="20"/>
    </w:rPr>
  </w:style>
  <w:style w:type="paragraph" w:styleId="ae">
    <w:name w:val="annotation subject"/>
    <w:basedOn w:val="ad"/>
    <w:next w:val="ad"/>
    <w:link w:val="Char4"/>
    <w:uiPriority w:val="99"/>
    <w:semiHidden/>
    <w:unhideWhenUsed/>
    <w:rsid w:val="005242D7"/>
    <w:rPr>
      <w:b/>
      <w:bCs/>
    </w:rPr>
  </w:style>
  <w:style w:type="character" w:customStyle="1" w:styleId="Char4">
    <w:name w:val="Θέμα σχολίου Char"/>
    <w:basedOn w:val="Char3"/>
    <w:link w:val="ae"/>
    <w:uiPriority w:val="99"/>
    <w:semiHidden/>
    <w:rsid w:val="005242D7"/>
    <w:rPr>
      <w:b/>
      <w:bCs/>
      <w:sz w:val="20"/>
      <w:szCs w:val="20"/>
    </w:rPr>
  </w:style>
  <w:style w:type="character" w:customStyle="1" w:styleId="bog-bodytext1">
    <w:name w:val="bog-bodytext1"/>
    <w:basedOn w:val="a0"/>
    <w:rsid w:val="00686CA8"/>
    <w:rPr>
      <w:rFonts w:ascii="Tahoma" w:hAnsi="Tahoma" w:cs="Tahoma" w:hint="default"/>
      <w:color w:val="000000"/>
    </w:rPr>
  </w:style>
  <w:style w:type="character" w:styleId="af">
    <w:name w:val="Placeholder Text"/>
    <w:basedOn w:val="a0"/>
    <w:uiPriority w:val="99"/>
    <w:semiHidden/>
    <w:rsid w:val="005708AD"/>
    <w:rPr>
      <w:color w:val="808080"/>
    </w:rPr>
  </w:style>
  <w:style w:type="paragraph" w:styleId="af0">
    <w:name w:val="caption"/>
    <w:basedOn w:val="a"/>
    <w:next w:val="a"/>
    <w:uiPriority w:val="35"/>
    <w:semiHidden/>
    <w:unhideWhenUsed/>
    <w:qFormat/>
    <w:rsid w:val="00E56EEA"/>
    <w:pPr>
      <w:spacing w:line="240" w:lineRule="auto"/>
    </w:pPr>
    <w:rPr>
      <w:b/>
      <w:bCs/>
      <w:color w:val="4F81BD" w:themeColor="accent1"/>
      <w:sz w:val="18"/>
      <w:szCs w:val="18"/>
    </w:rPr>
  </w:style>
  <w:style w:type="paragraph" w:styleId="af1">
    <w:name w:val="Revision"/>
    <w:hidden/>
    <w:uiPriority w:val="99"/>
    <w:semiHidden/>
    <w:rsid w:val="009C4CDA"/>
    <w:pPr>
      <w:spacing w:after="0" w:line="240" w:lineRule="auto"/>
    </w:pPr>
  </w:style>
  <w:style w:type="table" w:customStyle="1" w:styleId="LightShading-Accent11">
    <w:name w:val="Light Shading - Accent 11"/>
    <w:basedOn w:val="a1"/>
    <w:uiPriority w:val="60"/>
    <w:rsid w:val="0001419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2Accent5">
    <w:name w:val="List Table 2 Accent 5"/>
    <w:basedOn w:val="a1"/>
    <w:uiPriority w:val="47"/>
    <w:rsid w:val="003A7EB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
    <w:name w:val="List Table 2 Accent 1"/>
    <w:basedOn w:val="a1"/>
    <w:uiPriority w:val="47"/>
    <w:rsid w:val="003A7EB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
    <w:name w:val="List Table 4 Accent 1"/>
    <w:basedOn w:val="a1"/>
    <w:uiPriority w:val="49"/>
    <w:rsid w:val="002366E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5">
    <w:name w:val="List Table 4 Accent 5"/>
    <w:basedOn w:val="a1"/>
    <w:uiPriority w:val="49"/>
    <w:rsid w:val="00BC4EC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597">
      <w:bodyDiv w:val="1"/>
      <w:marLeft w:val="0"/>
      <w:marRight w:val="0"/>
      <w:marTop w:val="0"/>
      <w:marBottom w:val="0"/>
      <w:divBdr>
        <w:top w:val="none" w:sz="0" w:space="0" w:color="auto"/>
        <w:left w:val="none" w:sz="0" w:space="0" w:color="auto"/>
        <w:bottom w:val="none" w:sz="0" w:space="0" w:color="auto"/>
        <w:right w:val="none" w:sz="0" w:space="0" w:color="auto"/>
      </w:divBdr>
    </w:div>
    <w:div w:id="11155453">
      <w:bodyDiv w:val="1"/>
      <w:marLeft w:val="0"/>
      <w:marRight w:val="0"/>
      <w:marTop w:val="0"/>
      <w:marBottom w:val="0"/>
      <w:divBdr>
        <w:top w:val="none" w:sz="0" w:space="0" w:color="auto"/>
        <w:left w:val="none" w:sz="0" w:space="0" w:color="auto"/>
        <w:bottom w:val="none" w:sz="0" w:space="0" w:color="auto"/>
        <w:right w:val="none" w:sz="0" w:space="0" w:color="auto"/>
      </w:divBdr>
    </w:div>
    <w:div w:id="11616457">
      <w:bodyDiv w:val="1"/>
      <w:marLeft w:val="0"/>
      <w:marRight w:val="0"/>
      <w:marTop w:val="0"/>
      <w:marBottom w:val="0"/>
      <w:divBdr>
        <w:top w:val="none" w:sz="0" w:space="0" w:color="auto"/>
        <w:left w:val="none" w:sz="0" w:space="0" w:color="auto"/>
        <w:bottom w:val="none" w:sz="0" w:space="0" w:color="auto"/>
        <w:right w:val="none" w:sz="0" w:space="0" w:color="auto"/>
      </w:divBdr>
    </w:div>
    <w:div w:id="15230415">
      <w:bodyDiv w:val="1"/>
      <w:marLeft w:val="0"/>
      <w:marRight w:val="0"/>
      <w:marTop w:val="0"/>
      <w:marBottom w:val="0"/>
      <w:divBdr>
        <w:top w:val="none" w:sz="0" w:space="0" w:color="auto"/>
        <w:left w:val="none" w:sz="0" w:space="0" w:color="auto"/>
        <w:bottom w:val="none" w:sz="0" w:space="0" w:color="auto"/>
        <w:right w:val="none" w:sz="0" w:space="0" w:color="auto"/>
      </w:divBdr>
    </w:div>
    <w:div w:id="16125360">
      <w:bodyDiv w:val="1"/>
      <w:marLeft w:val="0"/>
      <w:marRight w:val="0"/>
      <w:marTop w:val="0"/>
      <w:marBottom w:val="0"/>
      <w:divBdr>
        <w:top w:val="none" w:sz="0" w:space="0" w:color="auto"/>
        <w:left w:val="none" w:sz="0" w:space="0" w:color="auto"/>
        <w:bottom w:val="none" w:sz="0" w:space="0" w:color="auto"/>
        <w:right w:val="none" w:sz="0" w:space="0" w:color="auto"/>
      </w:divBdr>
    </w:div>
    <w:div w:id="18824046">
      <w:bodyDiv w:val="1"/>
      <w:marLeft w:val="0"/>
      <w:marRight w:val="0"/>
      <w:marTop w:val="0"/>
      <w:marBottom w:val="0"/>
      <w:divBdr>
        <w:top w:val="none" w:sz="0" w:space="0" w:color="auto"/>
        <w:left w:val="none" w:sz="0" w:space="0" w:color="auto"/>
        <w:bottom w:val="none" w:sz="0" w:space="0" w:color="auto"/>
        <w:right w:val="none" w:sz="0" w:space="0" w:color="auto"/>
      </w:divBdr>
    </w:div>
    <w:div w:id="31155719">
      <w:bodyDiv w:val="1"/>
      <w:marLeft w:val="0"/>
      <w:marRight w:val="0"/>
      <w:marTop w:val="0"/>
      <w:marBottom w:val="0"/>
      <w:divBdr>
        <w:top w:val="none" w:sz="0" w:space="0" w:color="auto"/>
        <w:left w:val="none" w:sz="0" w:space="0" w:color="auto"/>
        <w:bottom w:val="none" w:sz="0" w:space="0" w:color="auto"/>
        <w:right w:val="none" w:sz="0" w:space="0" w:color="auto"/>
      </w:divBdr>
    </w:div>
    <w:div w:id="42221909">
      <w:bodyDiv w:val="1"/>
      <w:marLeft w:val="0"/>
      <w:marRight w:val="0"/>
      <w:marTop w:val="0"/>
      <w:marBottom w:val="0"/>
      <w:divBdr>
        <w:top w:val="none" w:sz="0" w:space="0" w:color="auto"/>
        <w:left w:val="none" w:sz="0" w:space="0" w:color="auto"/>
        <w:bottom w:val="none" w:sz="0" w:space="0" w:color="auto"/>
        <w:right w:val="none" w:sz="0" w:space="0" w:color="auto"/>
      </w:divBdr>
    </w:div>
    <w:div w:id="63963470">
      <w:bodyDiv w:val="1"/>
      <w:marLeft w:val="0"/>
      <w:marRight w:val="0"/>
      <w:marTop w:val="0"/>
      <w:marBottom w:val="0"/>
      <w:divBdr>
        <w:top w:val="none" w:sz="0" w:space="0" w:color="auto"/>
        <w:left w:val="none" w:sz="0" w:space="0" w:color="auto"/>
        <w:bottom w:val="none" w:sz="0" w:space="0" w:color="auto"/>
        <w:right w:val="none" w:sz="0" w:space="0" w:color="auto"/>
      </w:divBdr>
    </w:div>
    <w:div w:id="84347850">
      <w:bodyDiv w:val="1"/>
      <w:marLeft w:val="0"/>
      <w:marRight w:val="0"/>
      <w:marTop w:val="0"/>
      <w:marBottom w:val="0"/>
      <w:divBdr>
        <w:top w:val="none" w:sz="0" w:space="0" w:color="auto"/>
        <w:left w:val="none" w:sz="0" w:space="0" w:color="auto"/>
        <w:bottom w:val="none" w:sz="0" w:space="0" w:color="auto"/>
        <w:right w:val="none" w:sz="0" w:space="0" w:color="auto"/>
      </w:divBdr>
    </w:div>
    <w:div w:id="84498974">
      <w:bodyDiv w:val="1"/>
      <w:marLeft w:val="0"/>
      <w:marRight w:val="0"/>
      <w:marTop w:val="0"/>
      <w:marBottom w:val="0"/>
      <w:divBdr>
        <w:top w:val="none" w:sz="0" w:space="0" w:color="auto"/>
        <w:left w:val="none" w:sz="0" w:space="0" w:color="auto"/>
        <w:bottom w:val="none" w:sz="0" w:space="0" w:color="auto"/>
        <w:right w:val="none" w:sz="0" w:space="0" w:color="auto"/>
      </w:divBdr>
    </w:div>
    <w:div w:id="84500413">
      <w:bodyDiv w:val="1"/>
      <w:marLeft w:val="0"/>
      <w:marRight w:val="0"/>
      <w:marTop w:val="0"/>
      <w:marBottom w:val="0"/>
      <w:divBdr>
        <w:top w:val="none" w:sz="0" w:space="0" w:color="auto"/>
        <w:left w:val="none" w:sz="0" w:space="0" w:color="auto"/>
        <w:bottom w:val="none" w:sz="0" w:space="0" w:color="auto"/>
        <w:right w:val="none" w:sz="0" w:space="0" w:color="auto"/>
      </w:divBdr>
    </w:div>
    <w:div w:id="87041311">
      <w:bodyDiv w:val="1"/>
      <w:marLeft w:val="0"/>
      <w:marRight w:val="0"/>
      <w:marTop w:val="0"/>
      <w:marBottom w:val="0"/>
      <w:divBdr>
        <w:top w:val="none" w:sz="0" w:space="0" w:color="auto"/>
        <w:left w:val="none" w:sz="0" w:space="0" w:color="auto"/>
        <w:bottom w:val="none" w:sz="0" w:space="0" w:color="auto"/>
        <w:right w:val="none" w:sz="0" w:space="0" w:color="auto"/>
      </w:divBdr>
    </w:div>
    <w:div w:id="110589165">
      <w:bodyDiv w:val="1"/>
      <w:marLeft w:val="0"/>
      <w:marRight w:val="0"/>
      <w:marTop w:val="0"/>
      <w:marBottom w:val="0"/>
      <w:divBdr>
        <w:top w:val="none" w:sz="0" w:space="0" w:color="auto"/>
        <w:left w:val="none" w:sz="0" w:space="0" w:color="auto"/>
        <w:bottom w:val="none" w:sz="0" w:space="0" w:color="auto"/>
        <w:right w:val="none" w:sz="0" w:space="0" w:color="auto"/>
      </w:divBdr>
    </w:div>
    <w:div w:id="134301208">
      <w:bodyDiv w:val="1"/>
      <w:marLeft w:val="0"/>
      <w:marRight w:val="0"/>
      <w:marTop w:val="0"/>
      <w:marBottom w:val="0"/>
      <w:divBdr>
        <w:top w:val="none" w:sz="0" w:space="0" w:color="auto"/>
        <w:left w:val="none" w:sz="0" w:space="0" w:color="auto"/>
        <w:bottom w:val="none" w:sz="0" w:space="0" w:color="auto"/>
        <w:right w:val="none" w:sz="0" w:space="0" w:color="auto"/>
      </w:divBdr>
    </w:div>
    <w:div w:id="149101192">
      <w:bodyDiv w:val="1"/>
      <w:marLeft w:val="0"/>
      <w:marRight w:val="0"/>
      <w:marTop w:val="0"/>
      <w:marBottom w:val="0"/>
      <w:divBdr>
        <w:top w:val="none" w:sz="0" w:space="0" w:color="auto"/>
        <w:left w:val="none" w:sz="0" w:space="0" w:color="auto"/>
        <w:bottom w:val="none" w:sz="0" w:space="0" w:color="auto"/>
        <w:right w:val="none" w:sz="0" w:space="0" w:color="auto"/>
      </w:divBdr>
    </w:div>
    <w:div w:id="163473527">
      <w:bodyDiv w:val="1"/>
      <w:marLeft w:val="0"/>
      <w:marRight w:val="0"/>
      <w:marTop w:val="0"/>
      <w:marBottom w:val="0"/>
      <w:divBdr>
        <w:top w:val="none" w:sz="0" w:space="0" w:color="auto"/>
        <w:left w:val="none" w:sz="0" w:space="0" w:color="auto"/>
        <w:bottom w:val="none" w:sz="0" w:space="0" w:color="auto"/>
        <w:right w:val="none" w:sz="0" w:space="0" w:color="auto"/>
      </w:divBdr>
    </w:div>
    <w:div w:id="165749476">
      <w:bodyDiv w:val="1"/>
      <w:marLeft w:val="0"/>
      <w:marRight w:val="0"/>
      <w:marTop w:val="0"/>
      <w:marBottom w:val="0"/>
      <w:divBdr>
        <w:top w:val="none" w:sz="0" w:space="0" w:color="auto"/>
        <w:left w:val="none" w:sz="0" w:space="0" w:color="auto"/>
        <w:bottom w:val="none" w:sz="0" w:space="0" w:color="auto"/>
        <w:right w:val="none" w:sz="0" w:space="0" w:color="auto"/>
      </w:divBdr>
    </w:div>
    <w:div w:id="176508920">
      <w:bodyDiv w:val="1"/>
      <w:marLeft w:val="0"/>
      <w:marRight w:val="0"/>
      <w:marTop w:val="0"/>
      <w:marBottom w:val="0"/>
      <w:divBdr>
        <w:top w:val="none" w:sz="0" w:space="0" w:color="auto"/>
        <w:left w:val="none" w:sz="0" w:space="0" w:color="auto"/>
        <w:bottom w:val="none" w:sz="0" w:space="0" w:color="auto"/>
        <w:right w:val="none" w:sz="0" w:space="0" w:color="auto"/>
      </w:divBdr>
    </w:div>
    <w:div w:id="192576273">
      <w:bodyDiv w:val="1"/>
      <w:marLeft w:val="0"/>
      <w:marRight w:val="0"/>
      <w:marTop w:val="0"/>
      <w:marBottom w:val="0"/>
      <w:divBdr>
        <w:top w:val="none" w:sz="0" w:space="0" w:color="auto"/>
        <w:left w:val="none" w:sz="0" w:space="0" w:color="auto"/>
        <w:bottom w:val="none" w:sz="0" w:space="0" w:color="auto"/>
        <w:right w:val="none" w:sz="0" w:space="0" w:color="auto"/>
      </w:divBdr>
    </w:div>
    <w:div w:id="199827505">
      <w:bodyDiv w:val="1"/>
      <w:marLeft w:val="0"/>
      <w:marRight w:val="0"/>
      <w:marTop w:val="0"/>
      <w:marBottom w:val="0"/>
      <w:divBdr>
        <w:top w:val="none" w:sz="0" w:space="0" w:color="auto"/>
        <w:left w:val="none" w:sz="0" w:space="0" w:color="auto"/>
        <w:bottom w:val="none" w:sz="0" w:space="0" w:color="auto"/>
        <w:right w:val="none" w:sz="0" w:space="0" w:color="auto"/>
      </w:divBdr>
    </w:div>
    <w:div w:id="206381092">
      <w:bodyDiv w:val="1"/>
      <w:marLeft w:val="0"/>
      <w:marRight w:val="0"/>
      <w:marTop w:val="0"/>
      <w:marBottom w:val="0"/>
      <w:divBdr>
        <w:top w:val="none" w:sz="0" w:space="0" w:color="auto"/>
        <w:left w:val="none" w:sz="0" w:space="0" w:color="auto"/>
        <w:bottom w:val="none" w:sz="0" w:space="0" w:color="auto"/>
        <w:right w:val="none" w:sz="0" w:space="0" w:color="auto"/>
      </w:divBdr>
    </w:div>
    <w:div w:id="208037599">
      <w:bodyDiv w:val="1"/>
      <w:marLeft w:val="0"/>
      <w:marRight w:val="0"/>
      <w:marTop w:val="0"/>
      <w:marBottom w:val="0"/>
      <w:divBdr>
        <w:top w:val="none" w:sz="0" w:space="0" w:color="auto"/>
        <w:left w:val="none" w:sz="0" w:space="0" w:color="auto"/>
        <w:bottom w:val="none" w:sz="0" w:space="0" w:color="auto"/>
        <w:right w:val="none" w:sz="0" w:space="0" w:color="auto"/>
      </w:divBdr>
    </w:div>
    <w:div w:id="210121141">
      <w:bodyDiv w:val="1"/>
      <w:marLeft w:val="0"/>
      <w:marRight w:val="0"/>
      <w:marTop w:val="0"/>
      <w:marBottom w:val="0"/>
      <w:divBdr>
        <w:top w:val="none" w:sz="0" w:space="0" w:color="auto"/>
        <w:left w:val="none" w:sz="0" w:space="0" w:color="auto"/>
        <w:bottom w:val="none" w:sz="0" w:space="0" w:color="auto"/>
        <w:right w:val="none" w:sz="0" w:space="0" w:color="auto"/>
      </w:divBdr>
    </w:div>
    <w:div w:id="213780490">
      <w:bodyDiv w:val="1"/>
      <w:marLeft w:val="0"/>
      <w:marRight w:val="0"/>
      <w:marTop w:val="0"/>
      <w:marBottom w:val="0"/>
      <w:divBdr>
        <w:top w:val="none" w:sz="0" w:space="0" w:color="auto"/>
        <w:left w:val="none" w:sz="0" w:space="0" w:color="auto"/>
        <w:bottom w:val="none" w:sz="0" w:space="0" w:color="auto"/>
        <w:right w:val="none" w:sz="0" w:space="0" w:color="auto"/>
      </w:divBdr>
    </w:div>
    <w:div w:id="226496409">
      <w:bodyDiv w:val="1"/>
      <w:marLeft w:val="0"/>
      <w:marRight w:val="0"/>
      <w:marTop w:val="0"/>
      <w:marBottom w:val="0"/>
      <w:divBdr>
        <w:top w:val="none" w:sz="0" w:space="0" w:color="auto"/>
        <w:left w:val="none" w:sz="0" w:space="0" w:color="auto"/>
        <w:bottom w:val="none" w:sz="0" w:space="0" w:color="auto"/>
        <w:right w:val="none" w:sz="0" w:space="0" w:color="auto"/>
      </w:divBdr>
    </w:div>
    <w:div w:id="227308238">
      <w:bodyDiv w:val="1"/>
      <w:marLeft w:val="0"/>
      <w:marRight w:val="0"/>
      <w:marTop w:val="0"/>
      <w:marBottom w:val="0"/>
      <w:divBdr>
        <w:top w:val="none" w:sz="0" w:space="0" w:color="auto"/>
        <w:left w:val="none" w:sz="0" w:space="0" w:color="auto"/>
        <w:bottom w:val="none" w:sz="0" w:space="0" w:color="auto"/>
        <w:right w:val="none" w:sz="0" w:space="0" w:color="auto"/>
      </w:divBdr>
    </w:div>
    <w:div w:id="227688560">
      <w:bodyDiv w:val="1"/>
      <w:marLeft w:val="0"/>
      <w:marRight w:val="0"/>
      <w:marTop w:val="0"/>
      <w:marBottom w:val="0"/>
      <w:divBdr>
        <w:top w:val="none" w:sz="0" w:space="0" w:color="auto"/>
        <w:left w:val="none" w:sz="0" w:space="0" w:color="auto"/>
        <w:bottom w:val="none" w:sz="0" w:space="0" w:color="auto"/>
        <w:right w:val="none" w:sz="0" w:space="0" w:color="auto"/>
      </w:divBdr>
    </w:div>
    <w:div w:id="234777047">
      <w:bodyDiv w:val="1"/>
      <w:marLeft w:val="0"/>
      <w:marRight w:val="0"/>
      <w:marTop w:val="0"/>
      <w:marBottom w:val="0"/>
      <w:divBdr>
        <w:top w:val="none" w:sz="0" w:space="0" w:color="auto"/>
        <w:left w:val="none" w:sz="0" w:space="0" w:color="auto"/>
        <w:bottom w:val="none" w:sz="0" w:space="0" w:color="auto"/>
        <w:right w:val="none" w:sz="0" w:space="0" w:color="auto"/>
      </w:divBdr>
    </w:div>
    <w:div w:id="236938714">
      <w:bodyDiv w:val="1"/>
      <w:marLeft w:val="0"/>
      <w:marRight w:val="0"/>
      <w:marTop w:val="0"/>
      <w:marBottom w:val="0"/>
      <w:divBdr>
        <w:top w:val="none" w:sz="0" w:space="0" w:color="auto"/>
        <w:left w:val="none" w:sz="0" w:space="0" w:color="auto"/>
        <w:bottom w:val="none" w:sz="0" w:space="0" w:color="auto"/>
        <w:right w:val="none" w:sz="0" w:space="0" w:color="auto"/>
      </w:divBdr>
    </w:div>
    <w:div w:id="256603165">
      <w:bodyDiv w:val="1"/>
      <w:marLeft w:val="0"/>
      <w:marRight w:val="0"/>
      <w:marTop w:val="0"/>
      <w:marBottom w:val="0"/>
      <w:divBdr>
        <w:top w:val="none" w:sz="0" w:space="0" w:color="auto"/>
        <w:left w:val="none" w:sz="0" w:space="0" w:color="auto"/>
        <w:bottom w:val="none" w:sz="0" w:space="0" w:color="auto"/>
        <w:right w:val="none" w:sz="0" w:space="0" w:color="auto"/>
      </w:divBdr>
    </w:div>
    <w:div w:id="258491684">
      <w:bodyDiv w:val="1"/>
      <w:marLeft w:val="0"/>
      <w:marRight w:val="0"/>
      <w:marTop w:val="0"/>
      <w:marBottom w:val="0"/>
      <w:divBdr>
        <w:top w:val="none" w:sz="0" w:space="0" w:color="auto"/>
        <w:left w:val="none" w:sz="0" w:space="0" w:color="auto"/>
        <w:bottom w:val="none" w:sz="0" w:space="0" w:color="auto"/>
        <w:right w:val="none" w:sz="0" w:space="0" w:color="auto"/>
      </w:divBdr>
    </w:div>
    <w:div w:id="280887411">
      <w:bodyDiv w:val="1"/>
      <w:marLeft w:val="0"/>
      <w:marRight w:val="0"/>
      <w:marTop w:val="0"/>
      <w:marBottom w:val="0"/>
      <w:divBdr>
        <w:top w:val="none" w:sz="0" w:space="0" w:color="auto"/>
        <w:left w:val="none" w:sz="0" w:space="0" w:color="auto"/>
        <w:bottom w:val="none" w:sz="0" w:space="0" w:color="auto"/>
        <w:right w:val="none" w:sz="0" w:space="0" w:color="auto"/>
      </w:divBdr>
    </w:div>
    <w:div w:id="298464689">
      <w:bodyDiv w:val="1"/>
      <w:marLeft w:val="0"/>
      <w:marRight w:val="0"/>
      <w:marTop w:val="0"/>
      <w:marBottom w:val="0"/>
      <w:divBdr>
        <w:top w:val="none" w:sz="0" w:space="0" w:color="auto"/>
        <w:left w:val="none" w:sz="0" w:space="0" w:color="auto"/>
        <w:bottom w:val="none" w:sz="0" w:space="0" w:color="auto"/>
        <w:right w:val="none" w:sz="0" w:space="0" w:color="auto"/>
      </w:divBdr>
    </w:div>
    <w:div w:id="328800006">
      <w:bodyDiv w:val="1"/>
      <w:marLeft w:val="0"/>
      <w:marRight w:val="0"/>
      <w:marTop w:val="0"/>
      <w:marBottom w:val="0"/>
      <w:divBdr>
        <w:top w:val="none" w:sz="0" w:space="0" w:color="auto"/>
        <w:left w:val="none" w:sz="0" w:space="0" w:color="auto"/>
        <w:bottom w:val="none" w:sz="0" w:space="0" w:color="auto"/>
        <w:right w:val="none" w:sz="0" w:space="0" w:color="auto"/>
      </w:divBdr>
    </w:div>
    <w:div w:id="338428525">
      <w:bodyDiv w:val="1"/>
      <w:marLeft w:val="0"/>
      <w:marRight w:val="0"/>
      <w:marTop w:val="0"/>
      <w:marBottom w:val="0"/>
      <w:divBdr>
        <w:top w:val="none" w:sz="0" w:space="0" w:color="auto"/>
        <w:left w:val="none" w:sz="0" w:space="0" w:color="auto"/>
        <w:bottom w:val="none" w:sz="0" w:space="0" w:color="auto"/>
        <w:right w:val="none" w:sz="0" w:space="0" w:color="auto"/>
      </w:divBdr>
    </w:div>
    <w:div w:id="353577502">
      <w:bodyDiv w:val="1"/>
      <w:marLeft w:val="0"/>
      <w:marRight w:val="0"/>
      <w:marTop w:val="0"/>
      <w:marBottom w:val="0"/>
      <w:divBdr>
        <w:top w:val="none" w:sz="0" w:space="0" w:color="auto"/>
        <w:left w:val="none" w:sz="0" w:space="0" w:color="auto"/>
        <w:bottom w:val="none" w:sz="0" w:space="0" w:color="auto"/>
        <w:right w:val="none" w:sz="0" w:space="0" w:color="auto"/>
      </w:divBdr>
    </w:div>
    <w:div w:id="367295478">
      <w:bodyDiv w:val="1"/>
      <w:marLeft w:val="0"/>
      <w:marRight w:val="0"/>
      <w:marTop w:val="0"/>
      <w:marBottom w:val="0"/>
      <w:divBdr>
        <w:top w:val="none" w:sz="0" w:space="0" w:color="auto"/>
        <w:left w:val="none" w:sz="0" w:space="0" w:color="auto"/>
        <w:bottom w:val="none" w:sz="0" w:space="0" w:color="auto"/>
        <w:right w:val="none" w:sz="0" w:space="0" w:color="auto"/>
      </w:divBdr>
    </w:div>
    <w:div w:id="367684313">
      <w:bodyDiv w:val="1"/>
      <w:marLeft w:val="0"/>
      <w:marRight w:val="0"/>
      <w:marTop w:val="0"/>
      <w:marBottom w:val="0"/>
      <w:divBdr>
        <w:top w:val="none" w:sz="0" w:space="0" w:color="auto"/>
        <w:left w:val="none" w:sz="0" w:space="0" w:color="auto"/>
        <w:bottom w:val="none" w:sz="0" w:space="0" w:color="auto"/>
        <w:right w:val="none" w:sz="0" w:space="0" w:color="auto"/>
      </w:divBdr>
    </w:div>
    <w:div w:id="375352519">
      <w:bodyDiv w:val="1"/>
      <w:marLeft w:val="0"/>
      <w:marRight w:val="0"/>
      <w:marTop w:val="0"/>
      <w:marBottom w:val="0"/>
      <w:divBdr>
        <w:top w:val="none" w:sz="0" w:space="0" w:color="auto"/>
        <w:left w:val="none" w:sz="0" w:space="0" w:color="auto"/>
        <w:bottom w:val="none" w:sz="0" w:space="0" w:color="auto"/>
        <w:right w:val="none" w:sz="0" w:space="0" w:color="auto"/>
      </w:divBdr>
    </w:div>
    <w:div w:id="376785257">
      <w:bodyDiv w:val="1"/>
      <w:marLeft w:val="0"/>
      <w:marRight w:val="0"/>
      <w:marTop w:val="0"/>
      <w:marBottom w:val="0"/>
      <w:divBdr>
        <w:top w:val="none" w:sz="0" w:space="0" w:color="auto"/>
        <w:left w:val="none" w:sz="0" w:space="0" w:color="auto"/>
        <w:bottom w:val="none" w:sz="0" w:space="0" w:color="auto"/>
        <w:right w:val="none" w:sz="0" w:space="0" w:color="auto"/>
      </w:divBdr>
    </w:div>
    <w:div w:id="379089000">
      <w:bodyDiv w:val="1"/>
      <w:marLeft w:val="0"/>
      <w:marRight w:val="0"/>
      <w:marTop w:val="0"/>
      <w:marBottom w:val="0"/>
      <w:divBdr>
        <w:top w:val="none" w:sz="0" w:space="0" w:color="auto"/>
        <w:left w:val="none" w:sz="0" w:space="0" w:color="auto"/>
        <w:bottom w:val="none" w:sz="0" w:space="0" w:color="auto"/>
        <w:right w:val="none" w:sz="0" w:space="0" w:color="auto"/>
      </w:divBdr>
    </w:div>
    <w:div w:id="402534768">
      <w:bodyDiv w:val="1"/>
      <w:marLeft w:val="0"/>
      <w:marRight w:val="0"/>
      <w:marTop w:val="0"/>
      <w:marBottom w:val="0"/>
      <w:divBdr>
        <w:top w:val="none" w:sz="0" w:space="0" w:color="auto"/>
        <w:left w:val="none" w:sz="0" w:space="0" w:color="auto"/>
        <w:bottom w:val="none" w:sz="0" w:space="0" w:color="auto"/>
        <w:right w:val="none" w:sz="0" w:space="0" w:color="auto"/>
      </w:divBdr>
    </w:div>
    <w:div w:id="412747902">
      <w:bodyDiv w:val="1"/>
      <w:marLeft w:val="0"/>
      <w:marRight w:val="0"/>
      <w:marTop w:val="0"/>
      <w:marBottom w:val="0"/>
      <w:divBdr>
        <w:top w:val="none" w:sz="0" w:space="0" w:color="auto"/>
        <w:left w:val="none" w:sz="0" w:space="0" w:color="auto"/>
        <w:bottom w:val="none" w:sz="0" w:space="0" w:color="auto"/>
        <w:right w:val="none" w:sz="0" w:space="0" w:color="auto"/>
      </w:divBdr>
    </w:div>
    <w:div w:id="466243880">
      <w:bodyDiv w:val="1"/>
      <w:marLeft w:val="0"/>
      <w:marRight w:val="0"/>
      <w:marTop w:val="0"/>
      <w:marBottom w:val="0"/>
      <w:divBdr>
        <w:top w:val="none" w:sz="0" w:space="0" w:color="auto"/>
        <w:left w:val="none" w:sz="0" w:space="0" w:color="auto"/>
        <w:bottom w:val="none" w:sz="0" w:space="0" w:color="auto"/>
        <w:right w:val="none" w:sz="0" w:space="0" w:color="auto"/>
      </w:divBdr>
    </w:div>
    <w:div w:id="479814469">
      <w:bodyDiv w:val="1"/>
      <w:marLeft w:val="0"/>
      <w:marRight w:val="0"/>
      <w:marTop w:val="0"/>
      <w:marBottom w:val="0"/>
      <w:divBdr>
        <w:top w:val="none" w:sz="0" w:space="0" w:color="auto"/>
        <w:left w:val="none" w:sz="0" w:space="0" w:color="auto"/>
        <w:bottom w:val="none" w:sz="0" w:space="0" w:color="auto"/>
        <w:right w:val="none" w:sz="0" w:space="0" w:color="auto"/>
      </w:divBdr>
    </w:div>
    <w:div w:id="490681731">
      <w:bodyDiv w:val="1"/>
      <w:marLeft w:val="0"/>
      <w:marRight w:val="0"/>
      <w:marTop w:val="0"/>
      <w:marBottom w:val="0"/>
      <w:divBdr>
        <w:top w:val="none" w:sz="0" w:space="0" w:color="auto"/>
        <w:left w:val="none" w:sz="0" w:space="0" w:color="auto"/>
        <w:bottom w:val="none" w:sz="0" w:space="0" w:color="auto"/>
        <w:right w:val="none" w:sz="0" w:space="0" w:color="auto"/>
      </w:divBdr>
    </w:div>
    <w:div w:id="511606304">
      <w:bodyDiv w:val="1"/>
      <w:marLeft w:val="0"/>
      <w:marRight w:val="0"/>
      <w:marTop w:val="0"/>
      <w:marBottom w:val="0"/>
      <w:divBdr>
        <w:top w:val="none" w:sz="0" w:space="0" w:color="auto"/>
        <w:left w:val="none" w:sz="0" w:space="0" w:color="auto"/>
        <w:bottom w:val="none" w:sz="0" w:space="0" w:color="auto"/>
        <w:right w:val="none" w:sz="0" w:space="0" w:color="auto"/>
      </w:divBdr>
    </w:div>
    <w:div w:id="511846315">
      <w:bodyDiv w:val="1"/>
      <w:marLeft w:val="0"/>
      <w:marRight w:val="0"/>
      <w:marTop w:val="0"/>
      <w:marBottom w:val="0"/>
      <w:divBdr>
        <w:top w:val="none" w:sz="0" w:space="0" w:color="auto"/>
        <w:left w:val="none" w:sz="0" w:space="0" w:color="auto"/>
        <w:bottom w:val="none" w:sz="0" w:space="0" w:color="auto"/>
        <w:right w:val="none" w:sz="0" w:space="0" w:color="auto"/>
      </w:divBdr>
    </w:div>
    <w:div w:id="523055162">
      <w:bodyDiv w:val="1"/>
      <w:marLeft w:val="0"/>
      <w:marRight w:val="0"/>
      <w:marTop w:val="0"/>
      <w:marBottom w:val="0"/>
      <w:divBdr>
        <w:top w:val="none" w:sz="0" w:space="0" w:color="auto"/>
        <w:left w:val="none" w:sz="0" w:space="0" w:color="auto"/>
        <w:bottom w:val="none" w:sz="0" w:space="0" w:color="auto"/>
        <w:right w:val="none" w:sz="0" w:space="0" w:color="auto"/>
      </w:divBdr>
    </w:div>
    <w:div w:id="538130054">
      <w:bodyDiv w:val="1"/>
      <w:marLeft w:val="0"/>
      <w:marRight w:val="0"/>
      <w:marTop w:val="0"/>
      <w:marBottom w:val="0"/>
      <w:divBdr>
        <w:top w:val="none" w:sz="0" w:space="0" w:color="auto"/>
        <w:left w:val="none" w:sz="0" w:space="0" w:color="auto"/>
        <w:bottom w:val="none" w:sz="0" w:space="0" w:color="auto"/>
        <w:right w:val="none" w:sz="0" w:space="0" w:color="auto"/>
      </w:divBdr>
    </w:div>
    <w:div w:id="541986988">
      <w:bodyDiv w:val="1"/>
      <w:marLeft w:val="0"/>
      <w:marRight w:val="0"/>
      <w:marTop w:val="0"/>
      <w:marBottom w:val="0"/>
      <w:divBdr>
        <w:top w:val="none" w:sz="0" w:space="0" w:color="auto"/>
        <w:left w:val="none" w:sz="0" w:space="0" w:color="auto"/>
        <w:bottom w:val="none" w:sz="0" w:space="0" w:color="auto"/>
        <w:right w:val="none" w:sz="0" w:space="0" w:color="auto"/>
      </w:divBdr>
    </w:div>
    <w:div w:id="543640664">
      <w:bodyDiv w:val="1"/>
      <w:marLeft w:val="0"/>
      <w:marRight w:val="0"/>
      <w:marTop w:val="0"/>
      <w:marBottom w:val="0"/>
      <w:divBdr>
        <w:top w:val="none" w:sz="0" w:space="0" w:color="auto"/>
        <w:left w:val="none" w:sz="0" w:space="0" w:color="auto"/>
        <w:bottom w:val="none" w:sz="0" w:space="0" w:color="auto"/>
        <w:right w:val="none" w:sz="0" w:space="0" w:color="auto"/>
      </w:divBdr>
    </w:div>
    <w:div w:id="556816172">
      <w:bodyDiv w:val="1"/>
      <w:marLeft w:val="0"/>
      <w:marRight w:val="0"/>
      <w:marTop w:val="0"/>
      <w:marBottom w:val="0"/>
      <w:divBdr>
        <w:top w:val="none" w:sz="0" w:space="0" w:color="auto"/>
        <w:left w:val="none" w:sz="0" w:space="0" w:color="auto"/>
        <w:bottom w:val="none" w:sz="0" w:space="0" w:color="auto"/>
        <w:right w:val="none" w:sz="0" w:space="0" w:color="auto"/>
      </w:divBdr>
    </w:div>
    <w:div w:id="561137381">
      <w:bodyDiv w:val="1"/>
      <w:marLeft w:val="0"/>
      <w:marRight w:val="0"/>
      <w:marTop w:val="0"/>
      <w:marBottom w:val="0"/>
      <w:divBdr>
        <w:top w:val="none" w:sz="0" w:space="0" w:color="auto"/>
        <w:left w:val="none" w:sz="0" w:space="0" w:color="auto"/>
        <w:bottom w:val="none" w:sz="0" w:space="0" w:color="auto"/>
        <w:right w:val="none" w:sz="0" w:space="0" w:color="auto"/>
      </w:divBdr>
    </w:div>
    <w:div w:id="563223989">
      <w:bodyDiv w:val="1"/>
      <w:marLeft w:val="0"/>
      <w:marRight w:val="0"/>
      <w:marTop w:val="0"/>
      <w:marBottom w:val="0"/>
      <w:divBdr>
        <w:top w:val="none" w:sz="0" w:space="0" w:color="auto"/>
        <w:left w:val="none" w:sz="0" w:space="0" w:color="auto"/>
        <w:bottom w:val="none" w:sz="0" w:space="0" w:color="auto"/>
        <w:right w:val="none" w:sz="0" w:space="0" w:color="auto"/>
      </w:divBdr>
    </w:div>
    <w:div w:id="570848535">
      <w:bodyDiv w:val="1"/>
      <w:marLeft w:val="0"/>
      <w:marRight w:val="0"/>
      <w:marTop w:val="0"/>
      <w:marBottom w:val="0"/>
      <w:divBdr>
        <w:top w:val="none" w:sz="0" w:space="0" w:color="auto"/>
        <w:left w:val="none" w:sz="0" w:space="0" w:color="auto"/>
        <w:bottom w:val="none" w:sz="0" w:space="0" w:color="auto"/>
        <w:right w:val="none" w:sz="0" w:space="0" w:color="auto"/>
      </w:divBdr>
    </w:div>
    <w:div w:id="580721396">
      <w:bodyDiv w:val="1"/>
      <w:marLeft w:val="0"/>
      <w:marRight w:val="0"/>
      <w:marTop w:val="0"/>
      <w:marBottom w:val="0"/>
      <w:divBdr>
        <w:top w:val="none" w:sz="0" w:space="0" w:color="auto"/>
        <w:left w:val="none" w:sz="0" w:space="0" w:color="auto"/>
        <w:bottom w:val="none" w:sz="0" w:space="0" w:color="auto"/>
        <w:right w:val="none" w:sz="0" w:space="0" w:color="auto"/>
      </w:divBdr>
    </w:div>
    <w:div w:id="584388237">
      <w:bodyDiv w:val="1"/>
      <w:marLeft w:val="0"/>
      <w:marRight w:val="0"/>
      <w:marTop w:val="0"/>
      <w:marBottom w:val="0"/>
      <w:divBdr>
        <w:top w:val="none" w:sz="0" w:space="0" w:color="auto"/>
        <w:left w:val="none" w:sz="0" w:space="0" w:color="auto"/>
        <w:bottom w:val="none" w:sz="0" w:space="0" w:color="auto"/>
        <w:right w:val="none" w:sz="0" w:space="0" w:color="auto"/>
      </w:divBdr>
    </w:div>
    <w:div w:id="588466794">
      <w:bodyDiv w:val="1"/>
      <w:marLeft w:val="0"/>
      <w:marRight w:val="0"/>
      <w:marTop w:val="0"/>
      <w:marBottom w:val="0"/>
      <w:divBdr>
        <w:top w:val="none" w:sz="0" w:space="0" w:color="auto"/>
        <w:left w:val="none" w:sz="0" w:space="0" w:color="auto"/>
        <w:bottom w:val="none" w:sz="0" w:space="0" w:color="auto"/>
        <w:right w:val="none" w:sz="0" w:space="0" w:color="auto"/>
      </w:divBdr>
    </w:div>
    <w:div w:id="592856054">
      <w:bodyDiv w:val="1"/>
      <w:marLeft w:val="0"/>
      <w:marRight w:val="0"/>
      <w:marTop w:val="0"/>
      <w:marBottom w:val="0"/>
      <w:divBdr>
        <w:top w:val="none" w:sz="0" w:space="0" w:color="auto"/>
        <w:left w:val="none" w:sz="0" w:space="0" w:color="auto"/>
        <w:bottom w:val="none" w:sz="0" w:space="0" w:color="auto"/>
        <w:right w:val="none" w:sz="0" w:space="0" w:color="auto"/>
      </w:divBdr>
    </w:div>
    <w:div w:id="601956600">
      <w:bodyDiv w:val="1"/>
      <w:marLeft w:val="0"/>
      <w:marRight w:val="0"/>
      <w:marTop w:val="0"/>
      <w:marBottom w:val="0"/>
      <w:divBdr>
        <w:top w:val="none" w:sz="0" w:space="0" w:color="auto"/>
        <w:left w:val="none" w:sz="0" w:space="0" w:color="auto"/>
        <w:bottom w:val="none" w:sz="0" w:space="0" w:color="auto"/>
        <w:right w:val="none" w:sz="0" w:space="0" w:color="auto"/>
      </w:divBdr>
    </w:div>
    <w:div w:id="607394312">
      <w:bodyDiv w:val="1"/>
      <w:marLeft w:val="0"/>
      <w:marRight w:val="0"/>
      <w:marTop w:val="0"/>
      <w:marBottom w:val="0"/>
      <w:divBdr>
        <w:top w:val="none" w:sz="0" w:space="0" w:color="auto"/>
        <w:left w:val="none" w:sz="0" w:space="0" w:color="auto"/>
        <w:bottom w:val="none" w:sz="0" w:space="0" w:color="auto"/>
        <w:right w:val="none" w:sz="0" w:space="0" w:color="auto"/>
      </w:divBdr>
    </w:div>
    <w:div w:id="617755495">
      <w:bodyDiv w:val="1"/>
      <w:marLeft w:val="0"/>
      <w:marRight w:val="0"/>
      <w:marTop w:val="0"/>
      <w:marBottom w:val="0"/>
      <w:divBdr>
        <w:top w:val="none" w:sz="0" w:space="0" w:color="auto"/>
        <w:left w:val="none" w:sz="0" w:space="0" w:color="auto"/>
        <w:bottom w:val="none" w:sz="0" w:space="0" w:color="auto"/>
        <w:right w:val="none" w:sz="0" w:space="0" w:color="auto"/>
      </w:divBdr>
    </w:div>
    <w:div w:id="627080074">
      <w:bodyDiv w:val="1"/>
      <w:marLeft w:val="0"/>
      <w:marRight w:val="0"/>
      <w:marTop w:val="0"/>
      <w:marBottom w:val="0"/>
      <w:divBdr>
        <w:top w:val="none" w:sz="0" w:space="0" w:color="auto"/>
        <w:left w:val="none" w:sz="0" w:space="0" w:color="auto"/>
        <w:bottom w:val="none" w:sz="0" w:space="0" w:color="auto"/>
        <w:right w:val="none" w:sz="0" w:space="0" w:color="auto"/>
      </w:divBdr>
    </w:div>
    <w:div w:id="635917102">
      <w:bodyDiv w:val="1"/>
      <w:marLeft w:val="0"/>
      <w:marRight w:val="0"/>
      <w:marTop w:val="0"/>
      <w:marBottom w:val="0"/>
      <w:divBdr>
        <w:top w:val="none" w:sz="0" w:space="0" w:color="auto"/>
        <w:left w:val="none" w:sz="0" w:space="0" w:color="auto"/>
        <w:bottom w:val="none" w:sz="0" w:space="0" w:color="auto"/>
        <w:right w:val="none" w:sz="0" w:space="0" w:color="auto"/>
      </w:divBdr>
    </w:div>
    <w:div w:id="636301385">
      <w:bodyDiv w:val="1"/>
      <w:marLeft w:val="0"/>
      <w:marRight w:val="0"/>
      <w:marTop w:val="0"/>
      <w:marBottom w:val="0"/>
      <w:divBdr>
        <w:top w:val="none" w:sz="0" w:space="0" w:color="auto"/>
        <w:left w:val="none" w:sz="0" w:space="0" w:color="auto"/>
        <w:bottom w:val="none" w:sz="0" w:space="0" w:color="auto"/>
        <w:right w:val="none" w:sz="0" w:space="0" w:color="auto"/>
      </w:divBdr>
    </w:div>
    <w:div w:id="639649353">
      <w:bodyDiv w:val="1"/>
      <w:marLeft w:val="0"/>
      <w:marRight w:val="0"/>
      <w:marTop w:val="0"/>
      <w:marBottom w:val="0"/>
      <w:divBdr>
        <w:top w:val="none" w:sz="0" w:space="0" w:color="auto"/>
        <w:left w:val="none" w:sz="0" w:space="0" w:color="auto"/>
        <w:bottom w:val="none" w:sz="0" w:space="0" w:color="auto"/>
        <w:right w:val="none" w:sz="0" w:space="0" w:color="auto"/>
      </w:divBdr>
    </w:div>
    <w:div w:id="645158893">
      <w:bodyDiv w:val="1"/>
      <w:marLeft w:val="0"/>
      <w:marRight w:val="0"/>
      <w:marTop w:val="0"/>
      <w:marBottom w:val="0"/>
      <w:divBdr>
        <w:top w:val="none" w:sz="0" w:space="0" w:color="auto"/>
        <w:left w:val="none" w:sz="0" w:space="0" w:color="auto"/>
        <w:bottom w:val="none" w:sz="0" w:space="0" w:color="auto"/>
        <w:right w:val="none" w:sz="0" w:space="0" w:color="auto"/>
      </w:divBdr>
    </w:div>
    <w:div w:id="646471980">
      <w:bodyDiv w:val="1"/>
      <w:marLeft w:val="0"/>
      <w:marRight w:val="0"/>
      <w:marTop w:val="0"/>
      <w:marBottom w:val="0"/>
      <w:divBdr>
        <w:top w:val="none" w:sz="0" w:space="0" w:color="auto"/>
        <w:left w:val="none" w:sz="0" w:space="0" w:color="auto"/>
        <w:bottom w:val="none" w:sz="0" w:space="0" w:color="auto"/>
        <w:right w:val="none" w:sz="0" w:space="0" w:color="auto"/>
      </w:divBdr>
    </w:div>
    <w:div w:id="653802462">
      <w:bodyDiv w:val="1"/>
      <w:marLeft w:val="0"/>
      <w:marRight w:val="0"/>
      <w:marTop w:val="0"/>
      <w:marBottom w:val="0"/>
      <w:divBdr>
        <w:top w:val="none" w:sz="0" w:space="0" w:color="auto"/>
        <w:left w:val="none" w:sz="0" w:space="0" w:color="auto"/>
        <w:bottom w:val="none" w:sz="0" w:space="0" w:color="auto"/>
        <w:right w:val="none" w:sz="0" w:space="0" w:color="auto"/>
      </w:divBdr>
    </w:div>
    <w:div w:id="655109935">
      <w:bodyDiv w:val="1"/>
      <w:marLeft w:val="0"/>
      <w:marRight w:val="0"/>
      <w:marTop w:val="0"/>
      <w:marBottom w:val="0"/>
      <w:divBdr>
        <w:top w:val="none" w:sz="0" w:space="0" w:color="auto"/>
        <w:left w:val="none" w:sz="0" w:space="0" w:color="auto"/>
        <w:bottom w:val="none" w:sz="0" w:space="0" w:color="auto"/>
        <w:right w:val="none" w:sz="0" w:space="0" w:color="auto"/>
      </w:divBdr>
    </w:div>
    <w:div w:id="666127668">
      <w:bodyDiv w:val="1"/>
      <w:marLeft w:val="0"/>
      <w:marRight w:val="0"/>
      <w:marTop w:val="0"/>
      <w:marBottom w:val="0"/>
      <w:divBdr>
        <w:top w:val="none" w:sz="0" w:space="0" w:color="auto"/>
        <w:left w:val="none" w:sz="0" w:space="0" w:color="auto"/>
        <w:bottom w:val="none" w:sz="0" w:space="0" w:color="auto"/>
        <w:right w:val="none" w:sz="0" w:space="0" w:color="auto"/>
      </w:divBdr>
    </w:div>
    <w:div w:id="677583043">
      <w:bodyDiv w:val="1"/>
      <w:marLeft w:val="0"/>
      <w:marRight w:val="0"/>
      <w:marTop w:val="0"/>
      <w:marBottom w:val="0"/>
      <w:divBdr>
        <w:top w:val="none" w:sz="0" w:space="0" w:color="auto"/>
        <w:left w:val="none" w:sz="0" w:space="0" w:color="auto"/>
        <w:bottom w:val="none" w:sz="0" w:space="0" w:color="auto"/>
        <w:right w:val="none" w:sz="0" w:space="0" w:color="auto"/>
      </w:divBdr>
    </w:div>
    <w:div w:id="685861747">
      <w:bodyDiv w:val="1"/>
      <w:marLeft w:val="0"/>
      <w:marRight w:val="0"/>
      <w:marTop w:val="0"/>
      <w:marBottom w:val="0"/>
      <w:divBdr>
        <w:top w:val="none" w:sz="0" w:space="0" w:color="auto"/>
        <w:left w:val="none" w:sz="0" w:space="0" w:color="auto"/>
        <w:bottom w:val="none" w:sz="0" w:space="0" w:color="auto"/>
        <w:right w:val="none" w:sz="0" w:space="0" w:color="auto"/>
      </w:divBdr>
    </w:div>
    <w:div w:id="699937485">
      <w:bodyDiv w:val="1"/>
      <w:marLeft w:val="0"/>
      <w:marRight w:val="0"/>
      <w:marTop w:val="0"/>
      <w:marBottom w:val="0"/>
      <w:divBdr>
        <w:top w:val="none" w:sz="0" w:space="0" w:color="auto"/>
        <w:left w:val="none" w:sz="0" w:space="0" w:color="auto"/>
        <w:bottom w:val="none" w:sz="0" w:space="0" w:color="auto"/>
        <w:right w:val="none" w:sz="0" w:space="0" w:color="auto"/>
      </w:divBdr>
    </w:div>
    <w:div w:id="717168443">
      <w:bodyDiv w:val="1"/>
      <w:marLeft w:val="0"/>
      <w:marRight w:val="0"/>
      <w:marTop w:val="0"/>
      <w:marBottom w:val="0"/>
      <w:divBdr>
        <w:top w:val="none" w:sz="0" w:space="0" w:color="auto"/>
        <w:left w:val="none" w:sz="0" w:space="0" w:color="auto"/>
        <w:bottom w:val="none" w:sz="0" w:space="0" w:color="auto"/>
        <w:right w:val="none" w:sz="0" w:space="0" w:color="auto"/>
      </w:divBdr>
    </w:div>
    <w:div w:id="743532854">
      <w:bodyDiv w:val="1"/>
      <w:marLeft w:val="0"/>
      <w:marRight w:val="0"/>
      <w:marTop w:val="0"/>
      <w:marBottom w:val="0"/>
      <w:divBdr>
        <w:top w:val="none" w:sz="0" w:space="0" w:color="auto"/>
        <w:left w:val="none" w:sz="0" w:space="0" w:color="auto"/>
        <w:bottom w:val="none" w:sz="0" w:space="0" w:color="auto"/>
        <w:right w:val="none" w:sz="0" w:space="0" w:color="auto"/>
      </w:divBdr>
    </w:div>
    <w:div w:id="749431181">
      <w:bodyDiv w:val="1"/>
      <w:marLeft w:val="0"/>
      <w:marRight w:val="0"/>
      <w:marTop w:val="0"/>
      <w:marBottom w:val="0"/>
      <w:divBdr>
        <w:top w:val="none" w:sz="0" w:space="0" w:color="auto"/>
        <w:left w:val="none" w:sz="0" w:space="0" w:color="auto"/>
        <w:bottom w:val="none" w:sz="0" w:space="0" w:color="auto"/>
        <w:right w:val="none" w:sz="0" w:space="0" w:color="auto"/>
      </w:divBdr>
    </w:div>
    <w:div w:id="757562815">
      <w:bodyDiv w:val="1"/>
      <w:marLeft w:val="0"/>
      <w:marRight w:val="0"/>
      <w:marTop w:val="0"/>
      <w:marBottom w:val="0"/>
      <w:divBdr>
        <w:top w:val="none" w:sz="0" w:space="0" w:color="auto"/>
        <w:left w:val="none" w:sz="0" w:space="0" w:color="auto"/>
        <w:bottom w:val="none" w:sz="0" w:space="0" w:color="auto"/>
        <w:right w:val="none" w:sz="0" w:space="0" w:color="auto"/>
      </w:divBdr>
    </w:div>
    <w:div w:id="770782840">
      <w:bodyDiv w:val="1"/>
      <w:marLeft w:val="0"/>
      <w:marRight w:val="0"/>
      <w:marTop w:val="0"/>
      <w:marBottom w:val="0"/>
      <w:divBdr>
        <w:top w:val="none" w:sz="0" w:space="0" w:color="auto"/>
        <w:left w:val="none" w:sz="0" w:space="0" w:color="auto"/>
        <w:bottom w:val="none" w:sz="0" w:space="0" w:color="auto"/>
        <w:right w:val="none" w:sz="0" w:space="0" w:color="auto"/>
      </w:divBdr>
    </w:div>
    <w:div w:id="772238943">
      <w:bodyDiv w:val="1"/>
      <w:marLeft w:val="0"/>
      <w:marRight w:val="0"/>
      <w:marTop w:val="0"/>
      <w:marBottom w:val="0"/>
      <w:divBdr>
        <w:top w:val="none" w:sz="0" w:space="0" w:color="auto"/>
        <w:left w:val="none" w:sz="0" w:space="0" w:color="auto"/>
        <w:bottom w:val="none" w:sz="0" w:space="0" w:color="auto"/>
        <w:right w:val="none" w:sz="0" w:space="0" w:color="auto"/>
      </w:divBdr>
    </w:div>
    <w:div w:id="802114741">
      <w:bodyDiv w:val="1"/>
      <w:marLeft w:val="0"/>
      <w:marRight w:val="0"/>
      <w:marTop w:val="0"/>
      <w:marBottom w:val="0"/>
      <w:divBdr>
        <w:top w:val="none" w:sz="0" w:space="0" w:color="auto"/>
        <w:left w:val="none" w:sz="0" w:space="0" w:color="auto"/>
        <w:bottom w:val="none" w:sz="0" w:space="0" w:color="auto"/>
        <w:right w:val="none" w:sz="0" w:space="0" w:color="auto"/>
      </w:divBdr>
    </w:div>
    <w:div w:id="805507721">
      <w:bodyDiv w:val="1"/>
      <w:marLeft w:val="0"/>
      <w:marRight w:val="0"/>
      <w:marTop w:val="0"/>
      <w:marBottom w:val="0"/>
      <w:divBdr>
        <w:top w:val="none" w:sz="0" w:space="0" w:color="auto"/>
        <w:left w:val="none" w:sz="0" w:space="0" w:color="auto"/>
        <w:bottom w:val="none" w:sz="0" w:space="0" w:color="auto"/>
        <w:right w:val="none" w:sz="0" w:space="0" w:color="auto"/>
      </w:divBdr>
    </w:div>
    <w:div w:id="824010075">
      <w:bodyDiv w:val="1"/>
      <w:marLeft w:val="0"/>
      <w:marRight w:val="0"/>
      <w:marTop w:val="0"/>
      <w:marBottom w:val="0"/>
      <w:divBdr>
        <w:top w:val="none" w:sz="0" w:space="0" w:color="auto"/>
        <w:left w:val="none" w:sz="0" w:space="0" w:color="auto"/>
        <w:bottom w:val="none" w:sz="0" w:space="0" w:color="auto"/>
        <w:right w:val="none" w:sz="0" w:space="0" w:color="auto"/>
      </w:divBdr>
    </w:div>
    <w:div w:id="825166750">
      <w:bodyDiv w:val="1"/>
      <w:marLeft w:val="0"/>
      <w:marRight w:val="0"/>
      <w:marTop w:val="0"/>
      <w:marBottom w:val="0"/>
      <w:divBdr>
        <w:top w:val="none" w:sz="0" w:space="0" w:color="auto"/>
        <w:left w:val="none" w:sz="0" w:space="0" w:color="auto"/>
        <w:bottom w:val="none" w:sz="0" w:space="0" w:color="auto"/>
        <w:right w:val="none" w:sz="0" w:space="0" w:color="auto"/>
      </w:divBdr>
    </w:div>
    <w:div w:id="856775533">
      <w:bodyDiv w:val="1"/>
      <w:marLeft w:val="0"/>
      <w:marRight w:val="0"/>
      <w:marTop w:val="0"/>
      <w:marBottom w:val="0"/>
      <w:divBdr>
        <w:top w:val="none" w:sz="0" w:space="0" w:color="auto"/>
        <w:left w:val="none" w:sz="0" w:space="0" w:color="auto"/>
        <w:bottom w:val="none" w:sz="0" w:space="0" w:color="auto"/>
        <w:right w:val="none" w:sz="0" w:space="0" w:color="auto"/>
      </w:divBdr>
    </w:div>
    <w:div w:id="859129410">
      <w:bodyDiv w:val="1"/>
      <w:marLeft w:val="0"/>
      <w:marRight w:val="0"/>
      <w:marTop w:val="0"/>
      <w:marBottom w:val="0"/>
      <w:divBdr>
        <w:top w:val="none" w:sz="0" w:space="0" w:color="auto"/>
        <w:left w:val="none" w:sz="0" w:space="0" w:color="auto"/>
        <w:bottom w:val="none" w:sz="0" w:space="0" w:color="auto"/>
        <w:right w:val="none" w:sz="0" w:space="0" w:color="auto"/>
      </w:divBdr>
    </w:div>
    <w:div w:id="866286958">
      <w:bodyDiv w:val="1"/>
      <w:marLeft w:val="0"/>
      <w:marRight w:val="0"/>
      <w:marTop w:val="0"/>
      <w:marBottom w:val="0"/>
      <w:divBdr>
        <w:top w:val="none" w:sz="0" w:space="0" w:color="auto"/>
        <w:left w:val="none" w:sz="0" w:space="0" w:color="auto"/>
        <w:bottom w:val="none" w:sz="0" w:space="0" w:color="auto"/>
        <w:right w:val="none" w:sz="0" w:space="0" w:color="auto"/>
      </w:divBdr>
    </w:div>
    <w:div w:id="869100496">
      <w:bodyDiv w:val="1"/>
      <w:marLeft w:val="0"/>
      <w:marRight w:val="0"/>
      <w:marTop w:val="0"/>
      <w:marBottom w:val="0"/>
      <w:divBdr>
        <w:top w:val="none" w:sz="0" w:space="0" w:color="auto"/>
        <w:left w:val="none" w:sz="0" w:space="0" w:color="auto"/>
        <w:bottom w:val="none" w:sz="0" w:space="0" w:color="auto"/>
        <w:right w:val="none" w:sz="0" w:space="0" w:color="auto"/>
      </w:divBdr>
    </w:div>
    <w:div w:id="870647901">
      <w:bodyDiv w:val="1"/>
      <w:marLeft w:val="0"/>
      <w:marRight w:val="0"/>
      <w:marTop w:val="0"/>
      <w:marBottom w:val="0"/>
      <w:divBdr>
        <w:top w:val="none" w:sz="0" w:space="0" w:color="auto"/>
        <w:left w:val="none" w:sz="0" w:space="0" w:color="auto"/>
        <w:bottom w:val="none" w:sz="0" w:space="0" w:color="auto"/>
        <w:right w:val="none" w:sz="0" w:space="0" w:color="auto"/>
      </w:divBdr>
    </w:div>
    <w:div w:id="870651664">
      <w:bodyDiv w:val="1"/>
      <w:marLeft w:val="0"/>
      <w:marRight w:val="0"/>
      <w:marTop w:val="0"/>
      <w:marBottom w:val="0"/>
      <w:divBdr>
        <w:top w:val="none" w:sz="0" w:space="0" w:color="auto"/>
        <w:left w:val="none" w:sz="0" w:space="0" w:color="auto"/>
        <w:bottom w:val="none" w:sz="0" w:space="0" w:color="auto"/>
        <w:right w:val="none" w:sz="0" w:space="0" w:color="auto"/>
      </w:divBdr>
    </w:div>
    <w:div w:id="877161443">
      <w:bodyDiv w:val="1"/>
      <w:marLeft w:val="0"/>
      <w:marRight w:val="0"/>
      <w:marTop w:val="0"/>
      <w:marBottom w:val="0"/>
      <w:divBdr>
        <w:top w:val="none" w:sz="0" w:space="0" w:color="auto"/>
        <w:left w:val="none" w:sz="0" w:space="0" w:color="auto"/>
        <w:bottom w:val="none" w:sz="0" w:space="0" w:color="auto"/>
        <w:right w:val="none" w:sz="0" w:space="0" w:color="auto"/>
      </w:divBdr>
    </w:div>
    <w:div w:id="878710943">
      <w:bodyDiv w:val="1"/>
      <w:marLeft w:val="0"/>
      <w:marRight w:val="0"/>
      <w:marTop w:val="0"/>
      <w:marBottom w:val="0"/>
      <w:divBdr>
        <w:top w:val="none" w:sz="0" w:space="0" w:color="auto"/>
        <w:left w:val="none" w:sz="0" w:space="0" w:color="auto"/>
        <w:bottom w:val="none" w:sz="0" w:space="0" w:color="auto"/>
        <w:right w:val="none" w:sz="0" w:space="0" w:color="auto"/>
      </w:divBdr>
    </w:div>
    <w:div w:id="883102351">
      <w:bodyDiv w:val="1"/>
      <w:marLeft w:val="0"/>
      <w:marRight w:val="0"/>
      <w:marTop w:val="0"/>
      <w:marBottom w:val="0"/>
      <w:divBdr>
        <w:top w:val="none" w:sz="0" w:space="0" w:color="auto"/>
        <w:left w:val="none" w:sz="0" w:space="0" w:color="auto"/>
        <w:bottom w:val="none" w:sz="0" w:space="0" w:color="auto"/>
        <w:right w:val="none" w:sz="0" w:space="0" w:color="auto"/>
      </w:divBdr>
    </w:div>
    <w:div w:id="895702139">
      <w:bodyDiv w:val="1"/>
      <w:marLeft w:val="0"/>
      <w:marRight w:val="0"/>
      <w:marTop w:val="0"/>
      <w:marBottom w:val="0"/>
      <w:divBdr>
        <w:top w:val="none" w:sz="0" w:space="0" w:color="auto"/>
        <w:left w:val="none" w:sz="0" w:space="0" w:color="auto"/>
        <w:bottom w:val="none" w:sz="0" w:space="0" w:color="auto"/>
        <w:right w:val="none" w:sz="0" w:space="0" w:color="auto"/>
      </w:divBdr>
    </w:div>
    <w:div w:id="897668372">
      <w:bodyDiv w:val="1"/>
      <w:marLeft w:val="0"/>
      <w:marRight w:val="0"/>
      <w:marTop w:val="0"/>
      <w:marBottom w:val="0"/>
      <w:divBdr>
        <w:top w:val="none" w:sz="0" w:space="0" w:color="auto"/>
        <w:left w:val="none" w:sz="0" w:space="0" w:color="auto"/>
        <w:bottom w:val="none" w:sz="0" w:space="0" w:color="auto"/>
        <w:right w:val="none" w:sz="0" w:space="0" w:color="auto"/>
      </w:divBdr>
    </w:div>
    <w:div w:id="915866889">
      <w:bodyDiv w:val="1"/>
      <w:marLeft w:val="0"/>
      <w:marRight w:val="0"/>
      <w:marTop w:val="0"/>
      <w:marBottom w:val="0"/>
      <w:divBdr>
        <w:top w:val="none" w:sz="0" w:space="0" w:color="auto"/>
        <w:left w:val="none" w:sz="0" w:space="0" w:color="auto"/>
        <w:bottom w:val="none" w:sz="0" w:space="0" w:color="auto"/>
        <w:right w:val="none" w:sz="0" w:space="0" w:color="auto"/>
      </w:divBdr>
    </w:div>
    <w:div w:id="927153887">
      <w:bodyDiv w:val="1"/>
      <w:marLeft w:val="0"/>
      <w:marRight w:val="0"/>
      <w:marTop w:val="0"/>
      <w:marBottom w:val="0"/>
      <w:divBdr>
        <w:top w:val="none" w:sz="0" w:space="0" w:color="auto"/>
        <w:left w:val="none" w:sz="0" w:space="0" w:color="auto"/>
        <w:bottom w:val="none" w:sz="0" w:space="0" w:color="auto"/>
        <w:right w:val="none" w:sz="0" w:space="0" w:color="auto"/>
      </w:divBdr>
    </w:div>
    <w:div w:id="939263596">
      <w:bodyDiv w:val="1"/>
      <w:marLeft w:val="0"/>
      <w:marRight w:val="0"/>
      <w:marTop w:val="0"/>
      <w:marBottom w:val="0"/>
      <w:divBdr>
        <w:top w:val="none" w:sz="0" w:space="0" w:color="auto"/>
        <w:left w:val="none" w:sz="0" w:space="0" w:color="auto"/>
        <w:bottom w:val="none" w:sz="0" w:space="0" w:color="auto"/>
        <w:right w:val="none" w:sz="0" w:space="0" w:color="auto"/>
      </w:divBdr>
    </w:div>
    <w:div w:id="950865856">
      <w:bodyDiv w:val="1"/>
      <w:marLeft w:val="0"/>
      <w:marRight w:val="0"/>
      <w:marTop w:val="0"/>
      <w:marBottom w:val="0"/>
      <w:divBdr>
        <w:top w:val="none" w:sz="0" w:space="0" w:color="auto"/>
        <w:left w:val="none" w:sz="0" w:space="0" w:color="auto"/>
        <w:bottom w:val="none" w:sz="0" w:space="0" w:color="auto"/>
        <w:right w:val="none" w:sz="0" w:space="0" w:color="auto"/>
      </w:divBdr>
    </w:div>
    <w:div w:id="963729808">
      <w:bodyDiv w:val="1"/>
      <w:marLeft w:val="0"/>
      <w:marRight w:val="0"/>
      <w:marTop w:val="0"/>
      <w:marBottom w:val="0"/>
      <w:divBdr>
        <w:top w:val="none" w:sz="0" w:space="0" w:color="auto"/>
        <w:left w:val="none" w:sz="0" w:space="0" w:color="auto"/>
        <w:bottom w:val="none" w:sz="0" w:space="0" w:color="auto"/>
        <w:right w:val="none" w:sz="0" w:space="0" w:color="auto"/>
      </w:divBdr>
    </w:div>
    <w:div w:id="978413862">
      <w:bodyDiv w:val="1"/>
      <w:marLeft w:val="0"/>
      <w:marRight w:val="0"/>
      <w:marTop w:val="0"/>
      <w:marBottom w:val="0"/>
      <w:divBdr>
        <w:top w:val="none" w:sz="0" w:space="0" w:color="auto"/>
        <w:left w:val="none" w:sz="0" w:space="0" w:color="auto"/>
        <w:bottom w:val="none" w:sz="0" w:space="0" w:color="auto"/>
        <w:right w:val="none" w:sz="0" w:space="0" w:color="auto"/>
      </w:divBdr>
    </w:div>
    <w:div w:id="991904912">
      <w:bodyDiv w:val="1"/>
      <w:marLeft w:val="0"/>
      <w:marRight w:val="0"/>
      <w:marTop w:val="0"/>
      <w:marBottom w:val="0"/>
      <w:divBdr>
        <w:top w:val="none" w:sz="0" w:space="0" w:color="auto"/>
        <w:left w:val="none" w:sz="0" w:space="0" w:color="auto"/>
        <w:bottom w:val="none" w:sz="0" w:space="0" w:color="auto"/>
        <w:right w:val="none" w:sz="0" w:space="0" w:color="auto"/>
      </w:divBdr>
    </w:div>
    <w:div w:id="996418782">
      <w:bodyDiv w:val="1"/>
      <w:marLeft w:val="0"/>
      <w:marRight w:val="0"/>
      <w:marTop w:val="0"/>
      <w:marBottom w:val="0"/>
      <w:divBdr>
        <w:top w:val="none" w:sz="0" w:space="0" w:color="auto"/>
        <w:left w:val="none" w:sz="0" w:space="0" w:color="auto"/>
        <w:bottom w:val="none" w:sz="0" w:space="0" w:color="auto"/>
        <w:right w:val="none" w:sz="0" w:space="0" w:color="auto"/>
      </w:divBdr>
    </w:div>
    <w:div w:id="1006595701">
      <w:bodyDiv w:val="1"/>
      <w:marLeft w:val="0"/>
      <w:marRight w:val="0"/>
      <w:marTop w:val="0"/>
      <w:marBottom w:val="0"/>
      <w:divBdr>
        <w:top w:val="none" w:sz="0" w:space="0" w:color="auto"/>
        <w:left w:val="none" w:sz="0" w:space="0" w:color="auto"/>
        <w:bottom w:val="none" w:sz="0" w:space="0" w:color="auto"/>
        <w:right w:val="none" w:sz="0" w:space="0" w:color="auto"/>
      </w:divBdr>
    </w:div>
    <w:div w:id="1007485428">
      <w:bodyDiv w:val="1"/>
      <w:marLeft w:val="0"/>
      <w:marRight w:val="0"/>
      <w:marTop w:val="0"/>
      <w:marBottom w:val="0"/>
      <w:divBdr>
        <w:top w:val="none" w:sz="0" w:space="0" w:color="auto"/>
        <w:left w:val="none" w:sz="0" w:space="0" w:color="auto"/>
        <w:bottom w:val="none" w:sz="0" w:space="0" w:color="auto"/>
        <w:right w:val="none" w:sz="0" w:space="0" w:color="auto"/>
      </w:divBdr>
    </w:div>
    <w:div w:id="1009455074">
      <w:bodyDiv w:val="1"/>
      <w:marLeft w:val="0"/>
      <w:marRight w:val="0"/>
      <w:marTop w:val="0"/>
      <w:marBottom w:val="0"/>
      <w:divBdr>
        <w:top w:val="none" w:sz="0" w:space="0" w:color="auto"/>
        <w:left w:val="none" w:sz="0" w:space="0" w:color="auto"/>
        <w:bottom w:val="none" w:sz="0" w:space="0" w:color="auto"/>
        <w:right w:val="none" w:sz="0" w:space="0" w:color="auto"/>
      </w:divBdr>
    </w:div>
    <w:div w:id="1019429851">
      <w:bodyDiv w:val="1"/>
      <w:marLeft w:val="0"/>
      <w:marRight w:val="0"/>
      <w:marTop w:val="0"/>
      <w:marBottom w:val="0"/>
      <w:divBdr>
        <w:top w:val="none" w:sz="0" w:space="0" w:color="auto"/>
        <w:left w:val="none" w:sz="0" w:space="0" w:color="auto"/>
        <w:bottom w:val="none" w:sz="0" w:space="0" w:color="auto"/>
        <w:right w:val="none" w:sz="0" w:space="0" w:color="auto"/>
      </w:divBdr>
    </w:div>
    <w:div w:id="1025599372">
      <w:bodyDiv w:val="1"/>
      <w:marLeft w:val="0"/>
      <w:marRight w:val="0"/>
      <w:marTop w:val="0"/>
      <w:marBottom w:val="0"/>
      <w:divBdr>
        <w:top w:val="none" w:sz="0" w:space="0" w:color="auto"/>
        <w:left w:val="none" w:sz="0" w:space="0" w:color="auto"/>
        <w:bottom w:val="none" w:sz="0" w:space="0" w:color="auto"/>
        <w:right w:val="none" w:sz="0" w:space="0" w:color="auto"/>
      </w:divBdr>
    </w:div>
    <w:div w:id="1044401968">
      <w:bodyDiv w:val="1"/>
      <w:marLeft w:val="0"/>
      <w:marRight w:val="0"/>
      <w:marTop w:val="0"/>
      <w:marBottom w:val="0"/>
      <w:divBdr>
        <w:top w:val="none" w:sz="0" w:space="0" w:color="auto"/>
        <w:left w:val="none" w:sz="0" w:space="0" w:color="auto"/>
        <w:bottom w:val="none" w:sz="0" w:space="0" w:color="auto"/>
        <w:right w:val="none" w:sz="0" w:space="0" w:color="auto"/>
      </w:divBdr>
    </w:div>
    <w:div w:id="1051535361">
      <w:bodyDiv w:val="1"/>
      <w:marLeft w:val="0"/>
      <w:marRight w:val="0"/>
      <w:marTop w:val="0"/>
      <w:marBottom w:val="0"/>
      <w:divBdr>
        <w:top w:val="none" w:sz="0" w:space="0" w:color="auto"/>
        <w:left w:val="none" w:sz="0" w:space="0" w:color="auto"/>
        <w:bottom w:val="none" w:sz="0" w:space="0" w:color="auto"/>
        <w:right w:val="none" w:sz="0" w:space="0" w:color="auto"/>
      </w:divBdr>
    </w:div>
    <w:div w:id="1083261885">
      <w:bodyDiv w:val="1"/>
      <w:marLeft w:val="0"/>
      <w:marRight w:val="0"/>
      <w:marTop w:val="0"/>
      <w:marBottom w:val="0"/>
      <w:divBdr>
        <w:top w:val="none" w:sz="0" w:space="0" w:color="auto"/>
        <w:left w:val="none" w:sz="0" w:space="0" w:color="auto"/>
        <w:bottom w:val="none" w:sz="0" w:space="0" w:color="auto"/>
        <w:right w:val="none" w:sz="0" w:space="0" w:color="auto"/>
      </w:divBdr>
    </w:div>
    <w:div w:id="1088382106">
      <w:bodyDiv w:val="1"/>
      <w:marLeft w:val="0"/>
      <w:marRight w:val="0"/>
      <w:marTop w:val="0"/>
      <w:marBottom w:val="0"/>
      <w:divBdr>
        <w:top w:val="none" w:sz="0" w:space="0" w:color="auto"/>
        <w:left w:val="none" w:sz="0" w:space="0" w:color="auto"/>
        <w:bottom w:val="none" w:sz="0" w:space="0" w:color="auto"/>
        <w:right w:val="none" w:sz="0" w:space="0" w:color="auto"/>
      </w:divBdr>
    </w:div>
    <w:div w:id="1105226850">
      <w:bodyDiv w:val="1"/>
      <w:marLeft w:val="0"/>
      <w:marRight w:val="0"/>
      <w:marTop w:val="0"/>
      <w:marBottom w:val="0"/>
      <w:divBdr>
        <w:top w:val="none" w:sz="0" w:space="0" w:color="auto"/>
        <w:left w:val="none" w:sz="0" w:space="0" w:color="auto"/>
        <w:bottom w:val="none" w:sz="0" w:space="0" w:color="auto"/>
        <w:right w:val="none" w:sz="0" w:space="0" w:color="auto"/>
      </w:divBdr>
    </w:div>
    <w:div w:id="1116175150">
      <w:bodyDiv w:val="1"/>
      <w:marLeft w:val="0"/>
      <w:marRight w:val="0"/>
      <w:marTop w:val="0"/>
      <w:marBottom w:val="0"/>
      <w:divBdr>
        <w:top w:val="none" w:sz="0" w:space="0" w:color="auto"/>
        <w:left w:val="none" w:sz="0" w:space="0" w:color="auto"/>
        <w:bottom w:val="none" w:sz="0" w:space="0" w:color="auto"/>
        <w:right w:val="none" w:sz="0" w:space="0" w:color="auto"/>
      </w:divBdr>
    </w:div>
    <w:div w:id="1142580972">
      <w:bodyDiv w:val="1"/>
      <w:marLeft w:val="0"/>
      <w:marRight w:val="0"/>
      <w:marTop w:val="0"/>
      <w:marBottom w:val="0"/>
      <w:divBdr>
        <w:top w:val="none" w:sz="0" w:space="0" w:color="auto"/>
        <w:left w:val="none" w:sz="0" w:space="0" w:color="auto"/>
        <w:bottom w:val="none" w:sz="0" w:space="0" w:color="auto"/>
        <w:right w:val="none" w:sz="0" w:space="0" w:color="auto"/>
      </w:divBdr>
    </w:div>
    <w:div w:id="1166553496">
      <w:bodyDiv w:val="1"/>
      <w:marLeft w:val="0"/>
      <w:marRight w:val="0"/>
      <w:marTop w:val="0"/>
      <w:marBottom w:val="0"/>
      <w:divBdr>
        <w:top w:val="none" w:sz="0" w:space="0" w:color="auto"/>
        <w:left w:val="none" w:sz="0" w:space="0" w:color="auto"/>
        <w:bottom w:val="none" w:sz="0" w:space="0" w:color="auto"/>
        <w:right w:val="none" w:sz="0" w:space="0" w:color="auto"/>
      </w:divBdr>
    </w:div>
    <w:div w:id="1177312242">
      <w:bodyDiv w:val="1"/>
      <w:marLeft w:val="0"/>
      <w:marRight w:val="0"/>
      <w:marTop w:val="0"/>
      <w:marBottom w:val="0"/>
      <w:divBdr>
        <w:top w:val="none" w:sz="0" w:space="0" w:color="auto"/>
        <w:left w:val="none" w:sz="0" w:space="0" w:color="auto"/>
        <w:bottom w:val="none" w:sz="0" w:space="0" w:color="auto"/>
        <w:right w:val="none" w:sz="0" w:space="0" w:color="auto"/>
      </w:divBdr>
    </w:div>
    <w:div w:id="1226795570">
      <w:bodyDiv w:val="1"/>
      <w:marLeft w:val="0"/>
      <w:marRight w:val="0"/>
      <w:marTop w:val="0"/>
      <w:marBottom w:val="0"/>
      <w:divBdr>
        <w:top w:val="none" w:sz="0" w:space="0" w:color="auto"/>
        <w:left w:val="none" w:sz="0" w:space="0" w:color="auto"/>
        <w:bottom w:val="none" w:sz="0" w:space="0" w:color="auto"/>
        <w:right w:val="none" w:sz="0" w:space="0" w:color="auto"/>
      </w:divBdr>
    </w:div>
    <w:div w:id="1229342475">
      <w:bodyDiv w:val="1"/>
      <w:marLeft w:val="0"/>
      <w:marRight w:val="0"/>
      <w:marTop w:val="0"/>
      <w:marBottom w:val="0"/>
      <w:divBdr>
        <w:top w:val="none" w:sz="0" w:space="0" w:color="auto"/>
        <w:left w:val="none" w:sz="0" w:space="0" w:color="auto"/>
        <w:bottom w:val="none" w:sz="0" w:space="0" w:color="auto"/>
        <w:right w:val="none" w:sz="0" w:space="0" w:color="auto"/>
      </w:divBdr>
    </w:div>
    <w:div w:id="1236470342">
      <w:bodyDiv w:val="1"/>
      <w:marLeft w:val="0"/>
      <w:marRight w:val="0"/>
      <w:marTop w:val="0"/>
      <w:marBottom w:val="0"/>
      <w:divBdr>
        <w:top w:val="none" w:sz="0" w:space="0" w:color="auto"/>
        <w:left w:val="none" w:sz="0" w:space="0" w:color="auto"/>
        <w:bottom w:val="none" w:sz="0" w:space="0" w:color="auto"/>
        <w:right w:val="none" w:sz="0" w:space="0" w:color="auto"/>
      </w:divBdr>
    </w:div>
    <w:div w:id="1241939423">
      <w:bodyDiv w:val="1"/>
      <w:marLeft w:val="0"/>
      <w:marRight w:val="0"/>
      <w:marTop w:val="0"/>
      <w:marBottom w:val="0"/>
      <w:divBdr>
        <w:top w:val="none" w:sz="0" w:space="0" w:color="auto"/>
        <w:left w:val="none" w:sz="0" w:space="0" w:color="auto"/>
        <w:bottom w:val="none" w:sz="0" w:space="0" w:color="auto"/>
        <w:right w:val="none" w:sz="0" w:space="0" w:color="auto"/>
      </w:divBdr>
    </w:div>
    <w:div w:id="1253398347">
      <w:bodyDiv w:val="1"/>
      <w:marLeft w:val="0"/>
      <w:marRight w:val="0"/>
      <w:marTop w:val="0"/>
      <w:marBottom w:val="0"/>
      <w:divBdr>
        <w:top w:val="none" w:sz="0" w:space="0" w:color="auto"/>
        <w:left w:val="none" w:sz="0" w:space="0" w:color="auto"/>
        <w:bottom w:val="none" w:sz="0" w:space="0" w:color="auto"/>
        <w:right w:val="none" w:sz="0" w:space="0" w:color="auto"/>
      </w:divBdr>
    </w:div>
    <w:div w:id="1261917041">
      <w:bodyDiv w:val="1"/>
      <w:marLeft w:val="0"/>
      <w:marRight w:val="0"/>
      <w:marTop w:val="0"/>
      <w:marBottom w:val="0"/>
      <w:divBdr>
        <w:top w:val="none" w:sz="0" w:space="0" w:color="auto"/>
        <w:left w:val="none" w:sz="0" w:space="0" w:color="auto"/>
        <w:bottom w:val="none" w:sz="0" w:space="0" w:color="auto"/>
        <w:right w:val="none" w:sz="0" w:space="0" w:color="auto"/>
      </w:divBdr>
    </w:div>
    <w:div w:id="1272132123">
      <w:bodyDiv w:val="1"/>
      <w:marLeft w:val="0"/>
      <w:marRight w:val="0"/>
      <w:marTop w:val="0"/>
      <w:marBottom w:val="0"/>
      <w:divBdr>
        <w:top w:val="none" w:sz="0" w:space="0" w:color="auto"/>
        <w:left w:val="none" w:sz="0" w:space="0" w:color="auto"/>
        <w:bottom w:val="none" w:sz="0" w:space="0" w:color="auto"/>
        <w:right w:val="none" w:sz="0" w:space="0" w:color="auto"/>
      </w:divBdr>
    </w:div>
    <w:div w:id="1295017706">
      <w:bodyDiv w:val="1"/>
      <w:marLeft w:val="0"/>
      <w:marRight w:val="0"/>
      <w:marTop w:val="0"/>
      <w:marBottom w:val="0"/>
      <w:divBdr>
        <w:top w:val="none" w:sz="0" w:space="0" w:color="auto"/>
        <w:left w:val="none" w:sz="0" w:space="0" w:color="auto"/>
        <w:bottom w:val="none" w:sz="0" w:space="0" w:color="auto"/>
        <w:right w:val="none" w:sz="0" w:space="0" w:color="auto"/>
      </w:divBdr>
    </w:div>
    <w:div w:id="1299260939">
      <w:bodyDiv w:val="1"/>
      <w:marLeft w:val="0"/>
      <w:marRight w:val="0"/>
      <w:marTop w:val="0"/>
      <w:marBottom w:val="0"/>
      <w:divBdr>
        <w:top w:val="none" w:sz="0" w:space="0" w:color="auto"/>
        <w:left w:val="none" w:sz="0" w:space="0" w:color="auto"/>
        <w:bottom w:val="none" w:sz="0" w:space="0" w:color="auto"/>
        <w:right w:val="none" w:sz="0" w:space="0" w:color="auto"/>
      </w:divBdr>
    </w:div>
    <w:div w:id="1337419772">
      <w:bodyDiv w:val="1"/>
      <w:marLeft w:val="0"/>
      <w:marRight w:val="0"/>
      <w:marTop w:val="0"/>
      <w:marBottom w:val="0"/>
      <w:divBdr>
        <w:top w:val="none" w:sz="0" w:space="0" w:color="auto"/>
        <w:left w:val="none" w:sz="0" w:space="0" w:color="auto"/>
        <w:bottom w:val="none" w:sz="0" w:space="0" w:color="auto"/>
        <w:right w:val="none" w:sz="0" w:space="0" w:color="auto"/>
      </w:divBdr>
    </w:div>
    <w:div w:id="1337610687">
      <w:bodyDiv w:val="1"/>
      <w:marLeft w:val="0"/>
      <w:marRight w:val="0"/>
      <w:marTop w:val="0"/>
      <w:marBottom w:val="0"/>
      <w:divBdr>
        <w:top w:val="none" w:sz="0" w:space="0" w:color="auto"/>
        <w:left w:val="none" w:sz="0" w:space="0" w:color="auto"/>
        <w:bottom w:val="none" w:sz="0" w:space="0" w:color="auto"/>
        <w:right w:val="none" w:sz="0" w:space="0" w:color="auto"/>
      </w:divBdr>
    </w:div>
    <w:div w:id="1355689768">
      <w:bodyDiv w:val="1"/>
      <w:marLeft w:val="0"/>
      <w:marRight w:val="0"/>
      <w:marTop w:val="0"/>
      <w:marBottom w:val="0"/>
      <w:divBdr>
        <w:top w:val="none" w:sz="0" w:space="0" w:color="auto"/>
        <w:left w:val="none" w:sz="0" w:space="0" w:color="auto"/>
        <w:bottom w:val="none" w:sz="0" w:space="0" w:color="auto"/>
        <w:right w:val="none" w:sz="0" w:space="0" w:color="auto"/>
      </w:divBdr>
    </w:div>
    <w:div w:id="1376464960">
      <w:bodyDiv w:val="1"/>
      <w:marLeft w:val="0"/>
      <w:marRight w:val="0"/>
      <w:marTop w:val="0"/>
      <w:marBottom w:val="0"/>
      <w:divBdr>
        <w:top w:val="none" w:sz="0" w:space="0" w:color="auto"/>
        <w:left w:val="none" w:sz="0" w:space="0" w:color="auto"/>
        <w:bottom w:val="none" w:sz="0" w:space="0" w:color="auto"/>
        <w:right w:val="none" w:sz="0" w:space="0" w:color="auto"/>
      </w:divBdr>
    </w:div>
    <w:div w:id="1393579722">
      <w:bodyDiv w:val="1"/>
      <w:marLeft w:val="0"/>
      <w:marRight w:val="0"/>
      <w:marTop w:val="0"/>
      <w:marBottom w:val="0"/>
      <w:divBdr>
        <w:top w:val="none" w:sz="0" w:space="0" w:color="auto"/>
        <w:left w:val="none" w:sz="0" w:space="0" w:color="auto"/>
        <w:bottom w:val="none" w:sz="0" w:space="0" w:color="auto"/>
        <w:right w:val="none" w:sz="0" w:space="0" w:color="auto"/>
      </w:divBdr>
    </w:div>
    <w:div w:id="1399354433">
      <w:bodyDiv w:val="1"/>
      <w:marLeft w:val="0"/>
      <w:marRight w:val="0"/>
      <w:marTop w:val="0"/>
      <w:marBottom w:val="0"/>
      <w:divBdr>
        <w:top w:val="none" w:sz="0" w:space="0" w:color="auto"/>
        <w:left w:val="none" w:sz="0" w:space="0" w:color="auto"/>
        <w:bottom w:val="none" w:sz="0" w:space="0" w:color="auto"/>
        <w:right w:val="none" w:sz="0" w:space="0" w:color="auto"/>
      </w:divBdr>
    </w:div>
    <w:div w:id="1406341369">
      <w:bodyDiv w:val="1"/>
      <w:marLeft w:val="0"/>
      <w:marRight w:val="0"/>
      <w:marTop w:val="0"/>
      <w:marBottom w:val="0"/>
      <w:divBdr>
        <w:top w:val="none" w:sz="0" w:space="0" w:color="auto"/>
        <w:left w:val="none" w:sz="0" w:space="0" w:color="auto"/>
        <w:bottom w:val="none" w:sz="0" w:space="0" w:color="auto"/>
        <w:right w:val="none" w:sz="0" w:space="0" w:color="auto"/>
      </w:divBdr>
    </w:div>
    <w:div w:id="1434016564">
      <w:bodyDiv w:val="1"/>
      <w:marLeft w:val="0"/>
      <w:marRight w:val="0"/>
      <w:marTop w:val="0"/>
      <w:marBottom w:val="0"/>
      <w:divBdr>
        <w:top w:val="none" w:sz="0" w:space="0" w:color="auto"/>
        <w:left w:val="none" w:sz="0" w:space="0" w:color="auto"/>
        <w:bottom w:val="none" w:sz="0" w:space="0" w:color="auto"/>
        <w:right w:val="none" w:sz="0" w:space="0" w:color="auto"/>
      </w:divBdr>
    </w:div>
    <w:div w:id="1466581119">
      <w:bodyDiv w:val="1"/>
      <w:marLeft w:val="0"/>
      <w:marRight w:val="0"/>
      <w:marTop w:val="0"/>
      <w:marBottom w:val="0"/>
      <w:divBdr>
        <w:top w:val="none" w:sz="0" w:space="0" w:color="auto"/>
        <w:left w:val="none" w:sz="0" w:space="0" w:color="auto"/>
        <w:bottom w:val="none" w:sz="0" w:space="0" w:color="auto"/>
        <w:right w:val="none" w:sz="0" w:space="0" w:color="auto"/>
      </w:divBdr>
    </w:div>
    <w:div w:id="1481075442">
      <w:bodyDiv w:val="1"/>
      <w:marLeft w:val="0"/>
      <w:marRight w:val="0"/>
      <w:marTop w:val="0"/>
      <w:marBottom w:val="0"/>
      <w:divBdr>
        <w:top w:val="none" w:sz="0" w:space="0" w:color="auto"/>
        <w:left w:val="none" w:sz="0" w:space="0" w:color="auto"/>
        <w:bottom w:val="none" w:sz="0" w:space="0" w:color="auto"/>
        <w:right w:val="none" w:sz="0" w:space="0" w:color="auto"/>
      </w:divBdr>
    </w:div>
    <w:div w:id="1481847191">
      <w:bodyDiv w:val="1"/>
      <w:marLeft w:val="0"/>
      <w:marRight w:val="0"/>
      <w:marTop w:val="0"/>
      <w:marBottom w:val="0"/>
      <w:divBdr>
        <w:top w:val="none" w:sz="0" w:space="0" w:color="auto"/>
        <w:left w:val="none" w:sz="0" w:space="0" w:color="auto"/>
        <w:bottom w:val="none" w:sz="0" w:space="0" w:color="auto"/>
        <w:right w:val="none" w:sz="0" w:space="0" w:color="auto"/>
      </w:divBdr>
    </w:div>
    <w:div w:id="1483430832">
      <w:bodyDiv w:val="1"/>
      <w:marLeft w:val="0"/>
      <w:marRight w:val="0"/>
      <w:marTop w:val="0"/>
      <w:marBottom w:val="0"/>
      <w:divBdr>
        <w:top w:val="none" w:sz="0" w:space="0" w:color="auto"/>
        <w:left w:val="none" w:sz="0" w:space="0" w:color="auto"/>
        <w:bottom w:val="none" w:sz="0" w:space="0" w:color="auto"/>
        <w:right w:val="none" w:sz="0" w:space="0" w:color="auto"/>
      </w:divBdr>
    </w:div>
    <w:div w:id="1486243409">
      <w:bodyDiv w:val="1"/>
      <w:marLeft w:val="0"/>
      <w:marRight w:val="0"/>
      <w:marTop w:val="0"/>
      <w:marBottom w:val="0"/>
      <w:divBdr>
        <w:top w:val="none" w:sz="0" w:space="0" w:color="auto"/>
        <w:left w:val="none" w:sz="0" w:space="0" w:color="auto"/>
        <w:bottom w:val="none" w:sz="0" w:space="0" w:color="auto"/>
        <w:right w:val="none" w:sz="0" w:space="0" w:color="auto"/>
      </w:divBdr>
    </w:div>
    <w:div w:id="1492060530">
      <w:bodyDiv w:val="1"/>
      <w:marLeft w:val="0"/>
      <w:marRight w:val="0"/>
      <w:marTop w:val="0"/>
      <w:marBottom w:val="0"/>
      <w:divBdr>
        <w:top w:val="none" w:sz="0" w:space="0" w:color="auto"/>
        <w:left w:val="none" w:sz="0" w:space="0" w:color="auto"/>
        <w:bottom w:val="none" w:sz="0" w:space="0" w:color="auto"/>
        <w:right w:val="none" w:sz="0" w:space="0" w:color="auto"/>
      </w:divBdr>
    </w:div>
    <w:div w:id="1506748529">
      <w:bodyDiv w:val="1"/>
      <w:marLeft w:val="0"/>
      <w:marRight w:val="0"/>
      <w:marTop w:val="0"/>
      <w:marBottom w:val="0"/>
      <w:divBdr>
        <w:top w:val="none" w:sz="0" w:space="0" w:color="auto"/>
        <w:left w:val="none" w:sz="0" w:space="0" w:color="auto"/>
        <w:bottom w:val="none" w:sz="0" w:space="0" w:color="auto"/>
        <w:right w:val="none" w:sz="0" w:space="0" w:color="auto"/>
      </w:divBdr>
    </w:div>
    <w:div w:id="1515459044">
      <w:bodyDiv w:val="1"/>
      <w:marLeft w:val="0"/>
      <w:marRight w:val="0"/>
      <w:marTop w:val="0"/>
      <w:marBottom w:val="0"/>
      <w:divBdr>
        <w:top w:val="none" w:sz="0" w:space="0" w:color="auto"/>
        <w:left w:val="none" w:sz="0" w:space="0" w:color="auto"/>
        <w:bottom w:val="none" w:sz="0" w:space="0" w:color="auto"/>
        <w:right w:val="none" w:sz="0" w:space="0" w:color="auto"/>
      </w:divBdr>
    </w:div>
    <w:div w:id="1526140234">
      <w:bodyDiv w:val="1"/>
      <w:marLeft w:val="0"/>
      <w:marRight w:val="0"/>
      <w:marTop w:val="0"/>
      <w:marBottom w:val="0"/>
      <w:divBdr>
        <w:top w:val="none" w:sz="0" w:space="0" w:color="auto"/>
        <w:left w:val="none" w:sz="0" w:space="0" w:color="auto"/>
        <w:bottom w:val="none" w:sz="0" w:space="0" w:color="auto"/>
        <w:right w:val="none" w:sz="0" w:space="0" w:color="auto"/>
      </w:divBdr>
    </w:div>
    <w:div w:id="1529026942">
      <w:bodyDiv w:val="1"/>
      <w:marLeft w:val="0"/>
      <w:marRight w:val="0"/>
      <w:marTop w:val="0"/>
      <w:marBottom w:val="0"/>
      <w:divBdr>
        <w:top w:val="none" w:sz="0" w:space="0" w:color="auto"/>
        <w:left w:val="none" w:sz="0" w:space="0" w:color="auto"/>
        <w:bottom w:val="none" w:sz="0" w:space="0" w:color="auto"/>
        <w:right w:val="none" w:sz="0" w:space="0" w:color="auto"/>
      </w:divBdr>
    </w:div>
    <w:div w:id="1537423176">
      <w:bodyDiv w:val="1"/>
      <w:marLeft w:val="0"/>
      <w:marRight w:val="0"/>
      <w:marTop w:val="0"/>
      <w:marBottom w:val="0"/>
      <w:divBdr>
        <w:top w:val="none" w:sz="0" w:space="0" w:color="auto"/>
        <w:left w:val="none" w:sz="0" w:space="0" w:color="auto"/>
        <w:bottom w:val="none" w:sz="0" w:space="0" w:color="auto"/>
        <w:right w:val="none" w:sz="0" w:space="0" w:color="auto"/>
      </w:divBdr>
    </w:div>
    <w:div w:id="1546991790">
      <w:bodyDiv w:val="1"/>
      <w:marLeft w:val="0"/>
      <w:marRight w:val="0"/>
      <w:marTop w:val="0"/>
      <w:marBottom w:val="0"/>
      <w:divBdr>
        <w:top w:val="none" w:sz="0" w:space="0" w:color="auto"/>
        <w:left w:val="none" w:sz="0" w:space="0" w:color="auto"/>
        <w:bottom w:val="none" w:sz="0" w:space="0" w:color="auto"/>
        <w:right w:val="none" w:sz="0" w:space="0" w:color="auto"/>
      </w:divBdr>
    </w:div>
    <w:div w:id="1552963536">
      <w:bodyDiv w:val="1"/>
      <w:marLeft w:val="0"/>
      <w:marRight w:val="0"/>
      <w:marTop w:val="0"/>
      <w:marBottom w:val="0"/>
      <w:divBdr>
        <w:top w:val="none" w:sz="0" w:space="0" w:color="auto"/>
        <w:left w:val="none" w:sz="0" w:space="0" w:color="auto"/>
        <w:bottom w:val="none" w:sz="0" w:space="0" w:color="auto"/>
        <w:right w:val="none" w:sz="0" w:space="0" w:color="auto"/>
      </w:divBdr>
    </w:div>
    <w:div w:id="1552964179">
      <w:bodyDiv w:val="1"/>
      <w:marLeft w:val="0"/>
      <w:marRight w:val="0"/>
      <w:marTop w:val="0"/>
      <w:marBottom w:val="0"/>
      <w:divBdr>
        <w:top w:val="none" w:sz="0" w:space="0" w:color="auto"/>
        <w:left w:val="none" w:sz="0" w:space="0" w:color="auto"/>
        <w:bottom w:val="none" w:sz="0" w:space="0" w:color="auto"/>
        <w:right w:val="none" w:sz="0" w:space="0" w:color="auto"/>
      </w:divBdr>
    </w:div>
    <w:div w:id="1556433570">
      <w:bodyDiv w:val="1"/>
      <w:marLeft w:val="0"/>
      <w:marRight w:val="0"/>
      <w:marTop w:val="0"/>
      <w:marBottom w:val="0"/>
      <w:divBdr>
        <w:top w:val="none" w:sz="0" w:space="0" w:color="auto"/>
        <w:left w:val="none" w:sz="0" w:space="0" w:color="auto"/>
        <w:bottom w:val="none" w:sz="0" w:space="0" w:color="auto"/>
        <w:right w:val="none" w:sz="0" w:space="0" w:color="auto"/>
      </w:divBdr>
    </w:div>
    <w:div w:id="1556700557">
      <w:bodyDiv w:val="1"/>
      <w:marLeft w:val="0"/>
      <w:marRight w:val="0"/>
      <w:marTop w:val="0"/>
      <w:marBottom w:val="0"/>
      <w:divBdr>
        <w:top w:val="none" w:sz="0" w:space="0" w:color="auto"/>
        <w:left w:val="none" w:sz="0" w:space="0" w:color="auto"/>
        <w:bottom w:val="none" w:sz="0" w:space="0" w:color="auto"/>
        <w:right w:val="none" w:sz="0" w:space="0" w:color="auto"/>
      </w:divBdr>
    </w:div>
    <w:div w:id="1570265889">
      <w:bodyDiv w:val="1"/>
      <w:marLeft w:val="0"/>
      <w:marRight w:val="0"/>
      <w:marTop w:val="0"/>
      <w:marBottom w:val="0"/>
      <w:divBdr>
        <w:top w:val="none" w:sz="0" w:space="0" w:color="auto"/>
        <w:left w:val="none" w:sz="0" w:space="0" w:color="auto"/>
        <w:bottom w:val="none" w:sz="0" w:space="0" w:color="auto"/>
        <w:right w:val="none" w:sz="0" w:space="0" w:color="auto"/>
      </w:divBdr>
    </w:div>
    <w:div w:id="1576932937">
      <w:bodyDiv w:val="1"/>
      <w:marLeft w:val="0"/>
      <w:marRight w:val="0"/>
      <w:marTop w:val="0"/>
      <w:marBottom w:val="0"/>
      <w:divBdr>
        <w:top w:val="none" w:sz="0" w:space="0" w:color="auto"/>
        <w:left w:val="none" w:sz="0" w:space="0" w:color="auto"/>
        <w:bottom w:val="none" w:sz="0" w:space="0" w:color="auto"/>
        <w:right w:val="none" w:sz="0" w:space="0" w:color="auto"/>
      </w:divBdr>
    </w:div>
    <w:div w:id="1585073005">
      <w:bodyDiv w:val="1"/>
      <w:marLeft w:val="0"/>
      <w:marRight w:val="0"/>
      <w:marTop w:val="0"/>
      <w:marBottom w:val="0"/>
      <w:divBdr>
        <w:top w:val="none" w:sz="0" w:space="0" w:color="auto"/>
        <w:left w:val="none" w:sz="0" w:space="0" w:color="auto"/>
        <w:bottom w:val="none" w:sz="0" w:space="0" w:color="auto"/>
        <w:right w:val="none" w:sz="0" w:space="0" w:color="auto"/>
      </w:divBdr>
    </w:div>
    <w:div w:id="1588231272">
      <w:bodyDiv w:val="1"/>
      <w:marLeft w:val="0"/>
      <w:marRight w:val="0"/>
      <w:marTop w:val="0"/>
      <w:marBottom w:val="0"/>
      <w:divBdr>
        <w:top w:val="none" w:sz="0" w:space="0" w:color="auto"/>
        <w:left w:val="none" w:sz="0" w:space="0" w:color="auto"/>
        <w:bottom w:val="none" w:sz="0" w:space="0" w:color="auto"/>
        <w:right w:val="none" w:sz="0" w:space="0" w:color="auto"/>
      </w:divBdr>
    </w:div>
    <w:div w:id="1594390804">
      <w:bodyDiv w:val="1"/>
      <w:marLeft w:val="0"/>
      <w:marRight w:val="0"/>
      <w:marTop w:val="0"/>
      <w:marBottom w:val="0"/>
      <w:divBdr>
        <w:top w:val="none" w:sz="0" w:space="0" w:color="auto"/>
        <w:left w:val="none" w:sz="0" w:space="0" w:color="auto"/>
        <w:bottom w:val="none" w:sz="0" w:space="0" w:color="auto"/>
        <w:right w:val="none" w:sz="0" w:space="0" w:color="auto"/>
      </w:divBdr>
    </w:div>
    <w:div w:id="1607348080">
      <w:bodyDiv w:val="1"/>
      <w:marLeft w:val="0"/>
      <w:marRight w:val="0"/>
      <w:marTop w:val="0"/>
      <w:marBottom w:val="0"/>
      <w:divBdr>
        <w:top w:val="none" w:sz="0" w:space="0" w:color="auto"/>
        <w:left w:val="none" w:sz="0" w:space="0" w:color="auto"/>
        <w:bottom w:val="none" w:sz="0" w:space="0" w:color="auto"/>
        <w:right w:val="none" w:sz="0" w:space="0" w:color="auto"/>
      </w:divBdr>
    </w:div>
    <w:div w:id="1613974632">
      <w:bodyDiv w:val="1"/>
      <w:marLeft w:val="0"/>
      <w:marRight w:val="0"/>
      <w:marTop w:val="0"/>
      <w:marBottom w:val="0"/>
      <w:divBdr>
        <w:top w:val="none" w:sz="0" w:space="0" w:color="auto"/>
        <w:left w:val="none" w:sz="0" w:space="0" w:color="auto"/>
        <w:bottom w:val="none" w:sz="0" w:space="0" w:color="auto"/>
        <w:right w:val="none" w:sz="0" w:space="0" w:color="auto"/>
      </w:divBdr>
    </w:div>
    <w:div w:id="1616476012">
      <w:bodyDiv w:val="1"/>
      <w:marLeft w:val="0"/>
      <w:marRight w:val="0"/>
      <w:marTop w:val="0"/>
      <w:marBottom w:val="0"/>
      <w:divBdr>
        <w:top w:val="none" w:sz="0" w:space="0" w:color="auto"/>
        <w:left w:val="none" w:sz="0" w:space="0" w:color="auto"/>
        <w:bottom w:val="none" w:sz="0" w:space="0" w:color="auto"/>
        <w:right w:val="none" w:sz="0" w:space="0" w:color="auto"/>
      </w:divBdr>
    </w:div>
    <w:div w:id="1644697815">
      <w:bodyDiv w:val="1"/>
      <w:marLeft w:val="0"/>
      <w:marRight w:val="0"/>
      <w:marTop w:val="0"/>
      <w:marBottom w:val="0"/>
      <w:divBdr>
        <w:top w:val="none" w:sz="0" w:space="0" w:color="auto"/>
        <w:left w:val="none" w:sz="0" w:space="0" w:color="auto"/>
        <w:bottom w:val="none" w:sz="0" w:space="0" w:color="auto"/>
        <w:right w:val="none" w:sz="0" w:space="0" w:color="auto"/>
      </w:divBdr>
    </w:div>
    <w:div w:id="1657493648">
      <w:bodyDiv w:val="1"/>
      <w:marLeft w:val="0"/>
      <w:marRight w:val="0"/>
      <w:marTop w:val="0"/>
      <w:marBottom w:val="0"/>
      <w:divBdr>
        <w:top w:val="none" w:sz="0" w:space="0" w:color="auto"/>
        <w:left w:val="none" w:sz="0" w:space="0" w:color="auto"/>
        <w:bottom w:val="none" w:sz="0" w:space="0" w:color="auto"/>
        <w:right w:val="none" w:sz="0" w:space="0" w:color="auto"/>
      </w:divBdr>
    </w:div>
    <w:div w:id="1661155451">
      <w:bodyDiv w:val="1"/>
      <w:marLeft w:val="0"/>
      <w:marRight w:val="0"/>
      <w:marTop w:val="0"/>
      <w:marBottom w:val="0"/>
      <w:divBdr>
        <w:top w:val="none" w:sz="0" w:space="0" w:color="auto"/>
        <w:left w:val="none" w:sz="0" w:space="0" w:color="auto"/>
        <w:bottom w:val="none" w:sz="0" w:space="0" w:color="auto"/>
        <w:right w:val="none" w:sz="0" w:space="0" w:color="auto"/>
      </w:divBdr>
    </w:div>
    <w:div w:id="1673144880">
      <w:bodyDiv w:val="1"/>
      <w:marLeft w:val="0"/>
      <w:marRight w:val="0"/>
      <w:marTop w:val="0"/>
      <w:marBottom w:val="0"/>
      <w:divBdr>
        <w:top w:val="none" w:sz="0" w:space="0" w:color="auto"/>
        <w:left w:val="none" w:sz="0" w:space="0" w:color="auto"/>
        <w:bottom w:val="none" w:sz="0" w:space="0" w:color="auto"/>
        <w:right w:val="none" w:sz="0" w:space="0" w:color="auto"/>
      </w:divBdr>
    </w:div>
    <w:div w:id="1680960217">
      <w:bodyDiv w:val="1"/>
      <w:marLeft w:val="0"/>
      <w:marRight w:val="0"/>
      <w:marTop w:val="0"/>
      <w:marBottom w:val="0"/>
      <w:divBdr>
        <w:top w:val="none" w:sz="0" w:space="0" w:color="auto"/>
        <w:left w:val="none" w:sz="0" w:space="0" w:color="auto"/>
        <w:bottom w:val="none" w:sz="0" w:space="0" w:color="auto"/>
        <w:right w:val="none" w:sz="0" w:space="0" w:color="auto"/>
      </w:divBdr>
    </w:div>
    <w:div w:id="1685589818">
      <w:bodyDiv w:val="1"/>
      <w:marLeft w:val="0"/>
      <w:marRight w:val="0"/>
      <w:marTop w:val="0"/>
      <w:marBottom w:val="0"/>
      <w:divBdr>
        <w:top w:val="none" w:sz="0" w:space="0" w:color="auto"/>
        <w:left w:val="none" w:sz="0" w:space="0" w:color="auto"/>
        <w:bottom w:val="none" w:sz="0" w:space="0" w:color="auto"/>
        <w:right w:val="none" w:sz="0" w:space="0" w:color="auto"/>
      </w:divBdr>
    </w:div>
    <w:div w:id="1691953574">
      <w:bodyDiv w:val="1"/>
      <w:marLeft w:val="0"/>
      <w:marRight w:val="0"/>
      <w:marTop w:val="0"/>
      <w:marBottom w:val="0"/>
      <w:divBdr>
        <w:top w:val="none" w:sz="0" w:space="0" w:color="auto"/>
        <w:left w:val="none" w:sz="0" w:space="0" w:color="auto"/>
        <w:bottom w:val="none" w:sz="0" w:space="0" w:color="auto"/>
        <w:right w:val="none" w:sz="0" w:space="0" w:color="auto"/>
      </w:divBdr>
    </w:div>
    <w:div w:id="1691956903">
      <w:bodyDiv w:val="1"/>
      <w:marLeft w:val="0"/>
      <w:marRight w:val="0"/>
      <w:marTop w:val="0"/>
      <w:marBottom w:val="0"/>
      <w:divBdr>
        <w:top w:val="none" w:sz="0" w:space="0" w:color="auto"/>
        <w:left w:val="none" w:sz="0" w:space="0" w:color="auto"/>
        <w:bottom w:val="none" w:sz="0" w:space="0" w:color="auto"/>
        <w:right w:val="none" w:sz="0" w:space="0" w:color="auto"/>
      </w:divBdr>
    </w:div>
    <w:div w:id="1700201492">
      <w:bodyDiv w:val="1"/>
      <w:marLeft w:val="0"/>
      <w:marRight w:val="0"/>
      <w:marTop w:val="0"/>
      <w:marBottom w:val="0"/>
      <w:divBdr>
        <w:top w:val="none" w:sz="0" w:space="0" w:color="auto"/>
        <w:left w:val="none" w:sz="0" w:space="0" w:color="auto"/>
        <w:bottom w:val="none" w:sz="0" w:space="0" w:color="auto"/>
        <w:right w:val="none" w:sz="0" w:space="0" w:color="auto"/>
      </w:divBdr>
    </w:div>
    <w:div w:id="1701321980">
      <w:bodyDiv w:val="1"/>
      <w:marLeft w:val="0"/>
      <w:marRight w:val="0"/>
      <w:marTop w:val="0"/>
      <w:marBottom w:val="0"/>
      <w:divBdr>
        <w:top w:val="none" w:sz="0" w:space="0" w:color="auto"/>
        <w:left w:val="none" w:sz="0" w:space="0" w:color="auto"/>
        <w:bottom w:val="none" w:sz="0" w:space="0" w:color="auto"/>
        <w:right w:val="none" w:sz="0" w:space="0" w:color="auto"/>
      </w:divBdr>
    </w:div>
    <w:div w:id="1725564132">
      <w:bodyDiv w:val="1"/>
      <w:marLeft w:val="0"/>
      <w:marRight w:val="0"/>
      <w:marTop w:val="0"/>
      <w:marBottom w:val="0"/>
      <w:divBdr>
        <w:top w:val="none" w:sz="0" w:space="0" w:color="auto"/>
        <w:left w:val="none" w:sz="0" w:space="0" w:color="auto"/>
        <w:bottom w:val="none" w:sz="0" w:space="0" w:color="auto"/>
        <w:right w:val="none" w:sz="0" w:space="0" w:color="auto"/>
      </w:divBdr>
    </w:div>
    <w:div w:id="1756703315">
      <w:bodyDiv w:val="1"/>
      <w:marLeft w:val="0"/>
      <w:marRight w:val="0"/>
      <w:marTop w:val="0"/>
      <w:marBottom w:val="0"/>
      <w:divBdr>
        <w:top w:val="none" w:sz="0" w:space="0" w:color="auto"/>
        <w:left w:val="none" w:sz="0" w:space="0" w:color="auto"/>
        <w:bottom w:val="none" w:sz="0" w:space="0" w:color="auto"/>
        <w:right w:val="none" w:sz="0" w:space="0" w:color="auto"/>
      </w:divBdr>
    </w:div>
    <w:div w:id="1758747083">
      <w:bodyDiv w:val="1"/>
      <w:marLeft w:val="0"/>
      <w:marRight w:val="0"/>
      <w:marTop w:val="0"/>
      <w:marBottom w:val="0"/>
      <w:divBdr>
        <w:top w:val="none" w:sz="0" w:space="0" w:color="auto"/>
        <w:left w:val="none" w:sz="0" w:space="0" w:color="auto"/>
        <w:bottom w:val="none" w:sz="0" w:space="0" w:color="auto"/>
        <w:right w:val="none" w:sz="0" w:space="0" w:color="auto"/>
      </w:divBdr>
    </w:div>
    <w:div w:id="1764642263">
      <w:bodyDiv w:val="1"/>
      <w:marLeft w:val="0"/>
      <w:marRight w:val="0"/>
      <w:marTop w:val="0"/>
      <w:marBottom w:val="0"/>
      <w:divBdr>
        <w:top w:val="none" w:sz="0" w:space="0" w:color="auto"/>
        <w:left w:val="none" w:sz="0" w:space="0" w:color="auto"/>
        <w:bottom w:val="none" w:sz="0" w:space="0" w:color="auto"/>
        <w:right w:val="none" w:sz="0" w:space="0" w:color="auto"/>
      </w:divBdr>
    </w:div>
    <w:div w:id="1774935232">
      <w:bodyDiv w:val="1"/>
      <w:marLeft w:val="0"/>
      <w:marRight w:val="0"/>
      <w:marTop w:val="0"/>
      <w:marBottom w:val="0"/>
      <w:divBdr>
        <w:top w:val="none" w:sz="0" w:space="0" w:color="auto"/>
        <w:left w:val="none" w:sz="0" w:space="0" w:color="auto"/>
        <w:bottom w:val="none" w:sz="0" w:space="0" w:color="auto"/>
        <w:right w:val="none" w:sz="0" w:space="0" w:color="auto"/>
      </w:divBdr>
    </w:div>
    <w:div w:id="1782991855">
      <w:bodyDiv w:val="1"/>
      <w:marLeft w:val="0"/>
      <w:marRight w:val="0"/>
      <w:marTop w:val="0"/>
      <w:marBottom w:val="0"/>
      <w:divBdr>
        <w:top w:val="none" w:sz="0" w:space="0" w:color="auto"/>
        <w:left w:val="none" w:sz="0" w:space="0" w:color="auto"/>
        <w:bottom w:val="none" w:sz="0" w:space="0" w:color="auto"/>
        <w:right w:val="none" w:sz="0" w:space="0" w:color="auto"/>
      </w:divBdr>
    </w:div>
    <w:div w:id="1788695884">
      <w:bodyDiv w:val="1"/>
      <w:marLeft w:val="0"/>
      <w:marRight w:val="0"/>
      <w:marTop w:val="0"/>
      <w:marBottom w:val="0"/>
      <w:divBdr>
        <w:top w:val="none" w:sz="0" w:space="0" w:color="auto"/>
        <w:left w:val="none" w:sz="0" w:space="0" w:color="auto"/>
        <w:bottom w:val="none" w:sz="0" w:space="0" w:color="auto"/>
        <w:right w:val="none" w:sz="0" w:space="0" w:color="auto"/>
      </w:divBdr>
    </w:div>
    <w:div w:id="1805192137">
      <w:bodyDiv w:val="1"/>
      <w:marLeft w:val="0"/>
      <w:marRight w:val="0"/>
      <w:marTop w:val="0"/>
      <w:marBottom w:val="0"/>
      <w:divBdr>
        <w:top w:val="none" w:sz="0" w:space="0" w:color="auto"/>
        <w:left w:val="none" w:sz="0" w:space="0" w:color="auto"/>
        <w:bottom w:val="none" w:sz="0" w:space="0" w:color="auto"/>
        <w:right w:val="none" w:sz="0" w:space="0" w:color="auto"/>
      </w:divBdr>
    </w:div>
    <w:div w:id="1828744206">
      <w:bodyDiv w:val="1"/>
      <w:marLeft w:val="0"/>
      <w:marRight w:val="0"/>
      <w:marTop w:val="0"/>
      <w:marBottom w:val="0"/>
      <w:divBdr>
        <w:top w:val="none" w:sz="0" w:space="0" w:color="auto"/>
        <w:left w:val="none" w:sz="0" w:space="0" w:color="auto"/>
        <w:bottom w:val="none" w:sz="0" w:space="0" w:color="auto"/>
        <w:right w:val="none" w:sz="0" w:space="0" w:color="auto"/>
      </w:divBdr>
    </w:div>
    <w:div w:id="1832408493">
      <w:bodyDiv w:val="1"/>
      <w:marLeft w:val="0"/>
      <w:marRight w:val="0"/>
      <w:marTop w:val="0"/>
      <w:marBottom w:val="0"/>
      <w:divBdr>
        <w:top w:val="none" w:sz="0" w:space="0" w:color="auto"/>
        <w:left w:val="none" w:sz="0" w:space="0" w:color="auto"/>
        <w:bottom w:val="none" w:sz="0" w:space="0" w:color="auto"/>
        <w:right w:val="none" w:sz="0" w:space="0" w:color="auto"/>
      </w:divBdr>
    </w:div>
    <w:div w:id="1842230610">
      <w:bodyDiv w:val="1"/>
      <w:marLeft w:val="0"/>
      <w:marRight w:val="0"/>
      <w:marTop w:val="0"/>
      <w:marBottom w:val="0"/>
      <w:divBdr>
        <w:top w:val="none" w:sz="0" w:space="0" w:color="auto"/>
        <w:left w:val="none" w:sz="0" w:space="0" w:color="auto"/>
        <w:bottom w:val="none" w:sz="0" w:space="0" w:color="auto"/>
        <w:right w:val="none" w:sz="0" w:space="0" w:color="auto"/>
      </w:divBdr>
    </w:div>
    <w:div w:id="1843624293">
      <w:bodyDiv w:val="1"/>
      <w:marLeft w:val="0"/>
      <w:marRight w:val="0"/>
      <w:marTop w:val="0"/>
      <w:marBottom w:val="0"/>
      <w:divBdr>
        <w:top w:val="none" w:sz="0" w:space="0" w:color="auto"/>
        <w:left w:val="none" w:sz="0" w:space="0" w:color="auto"/>
        <w:bottom w:val="none" w:sz="0" w:space="0" w:color="auto"/>
        <w:right w:val="none" w:sz="0" w:space="0" w:color="auto"/>
      </w:divBdr>
      <w:divsChild>
        <w:div w:id="694767566">
          <w:marLeft w:val="0"/>
          <w:marRight w:val="0"/>
          <w:marTop w:val="0"/>
          <w:marBottom w:val="0"/>
          <w:divBdr>
            <w:top w:val="none" w:sz="0" w:space="0" w:color="auto"/>
            <w:left w:val="none" w:sz="0" w:space="0" w:color="auto"/>
            <w:bottom w:val="none" w:sz="0" w:space="0" w:color="auto"/>
            <w:right w:val="none" w:sz="0" w:space="0" w:color="auto"/>
          </w:divBdr>
        </w:div>
        <w:div w:id="700671966">
          <w:marLeft w:val="0"/>
          <w:marRight w:val="0"/>
          <w:marTop w:val="0"/>
          <w:marBottom w:val="0"/>
          <w:divBdr>
            <w:top w:val="none" w:sz="0" w:space="0" w:color="auto"/>
            <w:left w:val="none" w:sz="0" w:space="0" w:color="auto"/>
            <w:bottom w:val="none" w:sz="0" w:space="0" w:color="auto"/>
            <w:right w:val="none" w:sz="0" w:space="0" w:color="auto"/>
          </w:divBdr>
        </w:div>
        <w:div w:id="1002047800">
          <w:marLeft w:val="0"/>
          <w:marRight w:val="0"/>
          <w:marTop w:val="0"/>
          <w:marBottom w:val="0"/>
          <w:divBdr>
            <w:top w:val="none" w:sz="0" w:space="0" w:color="auto"/>
            <w:left w:val="none" w:sz="0" w:space="0" w:color="auto"/>
            <w:bottom w:val="none" w:sz="0" w:space="0" w:color="auto"/>
            <w:right w:val="none" w:sz="0" w:space="0" w:color="auto"/>
          </w:divBdr>
        </w:div>
        <w:div w:id="1155799973">
          <w:marLeft w:val="0"/>
          <w:marRight w:val="0"/>
          <w:marTop w:val="0"/>
          <w:marBottom w:val="0"/>
          <w:divBdr>
            <w:top w:val="none" w:sz="0" w:space="0" w:color="auto"/>
            <w:left w:val="none" w:sz="0" w:space="0" w:color="auto"/>
            <w:bottom w:val="none" w:sz="0" w:space="0" w:color="auto"/>
            <w:right w:val="none" w:sz="0" w:space="0" w:color="auto"/>
          </w:divBdr>
        </w:div>
        <w:div w:id="1698504454">
          <w:marLeft w:val="0"/>
          <w:marRight w:val="0"/>
          <w:marTop w:val="0"/>
          <w:marBottom w:val="0"/>
          <w:divBdr>
            <w:top w:val="none" w:sz="0" w:space="0" w:color="auto"/>
            <w:left w:val="none" w:sz="0" w:space="0" w:color="auto"/>
            <w:bottom w:val="none" w:sz="0" w:space="0" w:color="auto"/>
            <w:right w:val="none" w:sz="0" w:space="0" w:color="auto"/>
          </w:divBdr>
        </w:div>
        <w:div w:id="1706372386">
          <w:marLeft w:val="0"/>
          <w:marRight w:val="0"/>
          <w:marTop w:val="0"/>
          <w:marBottom w:val="0"/>
          <w:divBdr>
            <w:top w:val="none" w:sz="0" w:space="0" w:color="auto"/>
            <w:left w:val="none" w:sz="0" w:space="0" w:color="auto"/>
            <w:bottom w:val="none" w:sz="0" w:space="0" w:color="auto"/>
            <w:right w:val="none" w:sz="0" w:space="0" w:color="auto"/>
          </w:divBdr>
        </w:div>
        <w:div w:id="1847748454">
          <w:marLeft w:val="0"/>
          <w:marRight w:val="0"/>
          <w:marTop w:val="0"/>
          <w:marBottom w:val="0"/>
          <w:divBdr>
            <w:top w:val="none" w:sz="0" w:space="0" w:color="auto"/>
            <w:left w:val="none" w:sz="0" w:space="0" w:color="auto"/>
            <w:bottom w:val="none" w:sz="0" w:space="0" w:color="auto"/>
            <w:right w:val="none" w:sz="0" w:space="0" w:color="auto"/>
          </w:divBdr>
        </w:div>
        <w:div w:id="1964337077">
          <w:marLeft w:val="0"/>
          <w:marRight w:val="0"/>
          <w:marTop w:val="0"/>
          <w:marBottom w:val="0"/>
          <w:divBdr>
            <w:top w:val="none" w:sz="0" w:space="0" w:color="auto"/>
            <w:left w:val="none" w:sz="0" w:space="0" w:color="auto"/>
            <w:bottom w:val="none" w:sz="0" w:space="0" w:color="auto"/>
            <w:right w:val="none" w:sz="0" w:space="0" w:color="auto"/>
          </w:divBdr>
        </w:div>
      </w:divsChild>
    </w:div>
    <w:div w:id="1866020556">
      <w:bodyDiv w:val="1"/>
      <w:marLeft w:val="0"/>
      <w:marRight w:val="0"/>
      <w:marTop w:val="0"/>
      <w:marBottom w:val="0"/>
      <w:divBdr>
        <w:top w:val="none" w:sz="0" w:space="0" w:color="auto"/>
        <w:left w:val="none" w:sz="0" w:space="0" w:color="auto"/>
        <w:bottom w:val="none" w:sz="0" w:space="0" w:color="auto"/>
        <w:right w:val="none" w:sz="0" w:space="0" w:color="auto"/>
      </w:divBdr>
    </w:div>
    <w:div w:id="1867786034">
      <w:bodyDiv w:val="1"/>
      <w:marLeft w:val="0"/>
      <w:marRight w:val="0"/>
      <w:marTop w:val="0"/>
      <w:marBottom w:val="0"/>
      <w:divBdr>
        <w:top w:val="none" w:sz="0" w:space="0" w:color="auto"/>
        <w:left w:val="none" w:sz="0" w:space="0" w:color="auto"/>
        <w:bottom w:val="none" w:sz="0" w:space="0" w:color="auto"/>
        <w:right w:val="none" w:sz="0" w:space="0" w:color="auto"/>
      </w:divBdr>
    </w:div>
    <w:div w:id="1874729620">
      <w:bodyDiv w:val="1"/>
      <w:marLeft w:val="0"/>
      <w:marRight w:val="0"/>
      <w:marTop w:val="0"/>
      <w:marBottom w:val="0"/>
      <w:divBdr>
        <w:top w:val="none" w:sz="0" w:space="0" w:color="auto"/>
        <w:left w:val="none" w:sz="0" w:space="0" w:color="auto"/>
        <w:bottom w:val="none" w:sz="0" w:space="0" w:color="auto"/>
        <w:right w:val="none" w:sz="0" w:space="0" w:color="auto"/>
      </w:divBdr>
    </w:div>
    <w:div w:id="1882278629">
      <w:bodyDiv w:val="1"/>
      <w:marLeft w:val="0"/>
      <w:marRight w:val="0"/>
      <w:marTop w:val="0"/>
      <w:marBottom w:val="0"/>
      <w:divBdr>
        <w:top w:val="none" w:sz="0" w:space="0" w:color="auto"/>
        <w:left w:val="none" w:sz="0" w:space="0" w:color="auto"/>
        <w:bottom w:val="none" w:sz="0" w:space="0" w:color="auto"/>
        <w:right w:val="none" w:sz="0" w:space="0" w:color="auto"/>
      </w:divBdr>
    </w:div>
    <w:div w:id="1882402035">
      <w:bodyDiv w:val="1"/>
      <w:marLeft w:val="0"/>
      <w:marRight w:val="0"/>
      <w:marTop w:val="0"/>
      <w:marBottom w:val="0"/>
      <w:divBdr>
        <w:top w:val="none" w:sz="0" w:space="0" w:color="auto"/>
        <w:left w:val="none" w:sz="0" w:space="0" w:color="auto"/>
        <w:bottom w:val="none" w:sz="0" w:space="0" w:color="auto"/>
        <w:right w:val="none" w:sz="0" w:space="0" w:color="auto"/>
      </w:divBdr>
    </w:div>
    <w:div w:id="1905291922">
      <w:bodyDiv w:val="1"/>
      <w:marLeft w:val="0"/>
      <w:marRight w:val="0"/>
      <w:marTop w:val="0"/>
      <w:marBottom w:val="0"/>
      <w:divBdr>
        <w:top w:val="none" w:sz="0" w:space="0" w:color="auto"/>
        <w:left w:val="none" w:sz="0" w:space="0" w:color="auto"/>
        <w:bottom w:val="none" w:sz="0" w:space="0" w:color="auto"/>
        <w:right w:val="none" w:sz="0" w:space="0" w:color="auto"/>
      </w:divBdr>
    </w:div>
    <w:div w:id="1916351997">
      <w:bodyDiv w:val="1"/>
      <w:marLeft w:val="0"/>
      <w:marRight w:val="0"/>
      <w:marTop w:val="0"/>
      <w:marBottom w:val="0"/>
      <w:divBdr>
        <w:top w:val="none" w:sz="0" w:space="0" w:color="auto"/>
        <w:left w:val="none" w:sz="0" w:space="0" w:color="auto"/>
        <w:bottom w:val="none" w:sz="0" w:space="0" w:color="auto"/>
        <w:right w:val="none" w:sz="0" w:space="0" w:color="auto"/>
      </w:divBdr>
    </w:div>
    <w:div w:id="1922913339">
      <w:bodyDiv w:val="1"/>
      <w:marLeft w:val="0"/>
      <w:marRight w:val="0"/>
      <w:marTop w:val="0"/>
      <w:marBottom w:val="0"/>
      <w:divBdr>
        <w:top w:val="none" w:sz="0" w:space="0" w:color="auto"/>
        <w:left w:val="none" w:sz="0" w:space="0" w:color="auto"/>
        <w:bottom w:val="none" w:sz="0" w:space="0" w:color="auto"/>
        <w:right w:val="none" w:sz="0" w:space="0" w:color="auto"/>
      </w:divBdr>
    </w:div>
    <w:div w:id="1939368317">
      <w:bodyDiv w:val="1"/>
      <w:marLeft w:val="0"/>
      <w:marRight w:val="0"/>
      <w:marTop w:val="0"/>
      <w:marBottom w:val="0"/>
      <w:divBdr>
        <w:top w:val="none" w:sz="0" w:space="0" w:color="auto"/>
        <w:left w:val="none" w:sz="0" w:space="0" w:color="auto"/>
        <w:bottom w:val="none" w:sz="0" w:space="0" w:color="auto"/>
        <w:right w:val="none" w:sz="0" w:space="0" w:color="auto"/>
      </w:divBdr>
    </w:div>
    <w:div w:id="1949115586">
      <w:bodyDiv w:val="1"/>
      <w:marLeft w:val="0"/>
      <w:marRight w:val="0"/>
      <w:marTop w:val="0"/>
      <w:marBottom w:val="0"/>
      <w:divBdr>
        <w:top w:val="none" w:sz="0" w:space="0" w:color="auto"/>
        <w:left w:val="none" w:sz="0" w:space="0" w:color="auto"/>
        <w:bottom w:val="none" w:sz="0" w:space="0" w:color="auto"/>
        <w:right w:val="none" w:sz="0" w:space="0" w:color="auto"/>
      </w:divBdr>
    </w:div>
    <w:div w:id="1949893083">
      <w:bodyDiv w:val="1"/>
      <w:marLeft w:val="0"/>
      <w:marRight w:val="0"/>
      <w:marTop w:val="0"/>
      <w:marBottom w:val="0"/>
      <w:divBdr>
        <w:top w:val="none" w:sz="0" w:space="0" w:color="auto"/>
        <w:left w:val="none" w:sz="0" w:space="0" w:color="auto"/>
        <w:bottom w:val="none" w:sz="0" w:space="0" w:color="auto"/>
        <w:right w:val="none" w:sz="0" w:space="0" w:color="auto"/>
      </w:divBdr>
    </w:div>
    <w:div w:id="1956254907">
      <w:bodyDiv w:val="1"/>
      <w:marLeft w:val="0"/>
      <w:marRight w:val="0"/>
      <w:marTop w:val="0"/>
      <w:marBottom w:val="0"/>
      <w:divBdr>
        <w:top w:val="none" w:sz="0" w:space="0" w:color="auto"/>
        <w:left w:val="none" w:sz="0" w:space="0" w:color="auto"/>
        <w:bottom w:val="none" w:sz="0" w:space="0" w:color="auto"/>
        <w:right w:val="none" w:sz="0" w:space="0" w:color="auto"/>
      </w:divBdr>
    </w:div>
    <w:div w:id="1959095577">
      <w:bodyDiv w:val="1"/>
      <w:marLeft w:val="0"/>
      <w:marRight w:val="0"/>
      <w:marTop w:val="0"/>
      <w:marBottom w:val="0"/>
      <w:divBdr>
        <w:top w:val="none" w:sz="0" w:space="0" w:color="auto"/>
        <w:left w:val="none" w:sz="0" w:space="0" w:color="auto"/>
        <w:bottom w:val="none" w:sz="0" w:space="0" w:color="auto"/>
        <w:right w:val="none" w:sz="0" w:space="0" w:color="auto"/>
      </w:divBdr>
    </w:div>
    <w:div w:id="1974403478">
      <w:bodyDiv w:val="1"/>
      <w:marLeft w:val="0"/>
      <w:marRight w:val="0"/>
      <w:marTop w:val="0"/>
      <w:marBottom w:val="0"/>
      <w:divBdr>
        <w:top w:val="none" w:sz="0" w:space="0" w:color="auto"/>
        <w:left w:val="none" w:sz="0" w:space="0" w:color="auto"/>
        <w:bottom w:val="none" w:sz="0" w:space="0" w:color="auto"/>
        <w:right w:val="none" w:sz="0" w:space="0" w:color="auto"/>
      </w:divBdr>
    </w:div>
    <w:div w:id="1977829036">
      <w:bodyDiv w:val="1"/>
      <w:marLeft w:val="0"/>
      <w:marRight w:val="0"/>
      <w:marTop w:val="0"/>
      <w:marBottom w:val="0"/>
      <w:divBdr>
        <w:top w:val="none" w:sz="0" w:space="0" w:color="auto"/>
        <w:left w:val="none" w:sz="0" w:space="0" w:color="auto"/>
        <w:bottom w:val="none" w:sz="0" w:space="0" w:color="auto"/>
        <w:right w:val="none" w:sz="0" w:space="0" w:color="auto"/>
      </w:divBdr>
    </w:div>
    <w:div w:id="1992366031">
      <w:bodyDiv w:val="1"/>
      <w:marLeft w:val="0"/>
      <w:marRight w:val="0"/>
      <w:marTop w:val="0"/>
      <w:marBottom w:val="0"/>
      <w:divBdr>
        <w:top w:val="none" w:sz="0" w:space="0" w:color="auto"/>
        <w:left w:val="none" w:sz="0" w:space="0" w:color="auto"/>
        <w:bottom w:val="none" w:sz="0" w:space="0" w:color="auto"/>
        <w:right w:val="none" w:sz="0" w:space="0" w:color="auto"/>
      </w:divBdr>
    </w:div>
    <w:div w:id="2002997589">
      <w:bodyDiv w:val="1"/>
      <w:marLeft w:val="0"/>
      <w:marRight w:val="0"/>
      <w:marTop w:val="0"/>
      <w:marBottom w:val="0"/>
      <w:divBdr>
        <w:top w:val="none" w:sz="0" w:space="0" w:color="auto"/>
        <w:left w:val="none" w:sz="0" w:space="0" w:color="auto"/>
        <w:bottom w:val="none" w:sz="0" w:space="0" w:color="auto"/>
        <w:right w:val="none" w:sz="0" w:space="0" w:color="auto"/>
      </w:divBdr>
    </w:div>
    <w:div w:id="2013140432">
      <w:bodyDiv w:val="1"/>
      <w:marLeft w:val="0"/>
      <w:marRight w:val="0"/>
      <w:marTop w:val="0"/>
      <w:marBottom w:val="0"/>
      <w:divBdr>
        <w:top w:val="none" w:sz="0" w:space="0" w:color="auto"/>
        <w:left w:val="none" w:sz="0" w:space="0" w:color="auto"/>
        <w:bottom w:val="none" w:sz="0" w:space="0" w:color="auto"/>
        <w:right w:val="none" w:sz="0" w:space="0" w:color="auto"/>
      </w:divBdr>
    </w:div>
    <w:div w:id="2024285630">
      <w:bodyDiv w:val="1"/>
      <w:marLeft w:val="0"/>
      <w:marRight w:val="0"/>
      <w:marTop w:val="0"/>
      <w:marBottom w:val="0"/>
      <w:divBdr>
        <w:top w:val="none" w:sz="0" w:space="0" w:color="auto"/>
        <w:left w:val="none" w:sz="0" w:space="0" w:color="auto"/>
        <w:bottom w:val="none" w:sz="0" w:space="0" w:color="auto"/>
        <w:right w:val="none" w:sz="0" w:space="0" w:color="auto"/>
      </w:divBdr>
    </w:div>
    <w:div w:id="2029867321">
      <w:bodyDiv w:val="1"/>
      <w:marLeft w:val="0"/>
      <w:marRight w:val="0"/>
      <w:marTop w:val="0"/>
      <w:marBottom w:val="0"/>
      <w:divBdr>
        <w:top w:val="none" w:sz="0" w:space="0" w:color="auto"/>
        <w:left w:val="none" w:sz="0" w:space="0" w:color="auto"/>
        <w:bottom w:val="none" w:sz="0" w:space="0" w:color="auto"/>
        <w:right w:val="none" w:sz="0" w:space="0" w:color="auto"/>
      </w:divBdr>
    </w:div>
    <w:div w:id="2034265977">
      <w:bodyDiv w:val="1"/>
      <w:marLeft w:val="0"/>
      <w:marRight w:val="0"/>
      <w:marTop w:val="0"/>
      <w:marBottom w:val="0"/>
      <w:divBdr>
        <w:top w:val="none" w:sz="0" w:space="0" w:color="auto"/>
        <w:left w:val="none" w:sz="0" w:space="0" w:color="auto"/>
        <w:bottom w:val="none" w:sz="0" w:space="0" w:color="auto"/>
        <w:right w:val="none" w:sz="0" w:space="0" w:color="auto"/>
      </w:divBdr>
    </w:div>
    <w:div w:id="2037926867">
      <w:bodyDiv w:val="1"/>
      <w:marLeft w:val="0"/>
      <w:marRight w:val="0"/>
      <w:marTop w:val="0"/>
      <w:marBottom w:val="0"/>
      <w:divBdr>
        <w:top w:val="none" w:sz="0" w:space="0" w:color="auto"/>
        <w:left w:val="none" w:sz="0" w:space="0" w:color="auto"/>
        <w:bottom w:val="none" w:sz="0" w:space="0" w:color="auto"/>
        <w:right w:val="none" w:sz="0" w:space="0" w:color="auto"/>
      </w:divBdr>
    </w:div>
    <w:div w:id="2041512444">
      <w:bodyDiv w:val="1"/>
      <w:marLeft w:val="0"/>
      <w:marRight w:val="0"/>
      <w:marTop w:val="0"/>
      <w:marBottom w:val="0"/>
      <w:divBdr>
        <w:top w:val="none" w:sz="0" w:space="0" w:color="auto"/>
        <w:left w:val="none" w:sz="0" w:space="0" w:color="auto"/>
        <w:bottom w:val="none" w:sz="0" w:space="0" w:color="auto"/>
        <w:right w:val="none" w:sz="0" w:space="0" w:color="auto"/>
      </w:divBdr>
    </w:div>
    <w:div w:id="2043162811">
      <w:bodyDiv w:val="1"/>
      <w:marLeft w:val="0"/>
      <w:marRight w:val="0"/>
      <w:marTop w:val="0"/>
      <w:marBottom w:val="0"/>
      <w:divBdr>
        <w:top w:val="none" w:sz="0" w:space="0" w:color="auto"/>
        <w:left w:val="none" w:sz="0" w:space="0" w:color="auto"/>
        <w:bottom w:val="none" w:sz="0" w:space="0" w:color="auto"/>
        <w:right w:val="none" w:sz="0" w:space="0" w:color="auto"/>
      </w:divBdr>
    </w:div>
    <w:div w:id="2055688927">
      <w:bodyDiv w:val="1"/>
      <w:marLeft w:val="0"/>
      <w:marRight w:val="0"/>
      <w:marTop w:val="0"/>
      <w:marBottom w:val="0"/>
      <w:divBdr>
        <w:top w:val="none" w:sz="0" w:space="0" w:color="auto"/>
        <w:left w:val="none" w:sz="0" w:space="0" w:color="auto"/>
        <w:bottom w:val="none" w:sz="0" w:space="0" w:color="auto"/>
        <w:right w:val="none" w:sz="0" w:space="0" w:color="auto"/>
      </w:divBdr>
    </w:div>
    <w:div w:id="2068019741">
      <w:bodyDiv w:val="1"/>
      <w:marLeft w:val="0"/>
      <w:marRight w:val="0"/>
      <w:marTop w:val="0"/>
      <w:marBottom w:val="0"/>
      <w:divBdr>
        <w:top w:val="none" w:sz="0" w:space="0" w:color="auto"/>
        <w:left w:val="none" w:sz="0" w:space="0" w:color="auto"/>
        <w:bottom w:val="none" w:sz="0" w:space="0" w:color="auto"/>
        <w:right w:val="none" w:sz="0" w:space="0" w:color="auto"/>
      </w:divBdr>
    </w:div>
    <w:div w:id="2075855755">
      <w:bodyDiv w:val="1"/>
      <w:marLeft w:val="0"/>
      <w:marRight w:val="0"/>
      <w:marTop w:val="0"/>
      <w:marBottom w:val="0"/>
      <w:divBdr>
        <w:top w:val="none" w:sz="0" w:space="0" w:color="auto"/>
        <w:left w:val="none" w:sz="0" w:space="0" w:color="auto"/>
        <w:bottom w:val="none" w:sz="0" w:space="0" w:color="auto"/>
        <w:right w:val="none" w:sz="0" w:space="0" w:color="auto"/>
      </w:divBdr>
    </w:div>
    <w:div w:id="2075884847">
      <w:bodyDiv w:val="1"/>
      <w:marLeft w:val="0"/>
      <w:marRight w:val="0"/>
      <w:marTop w:val="0"/>
      <w:marBottom w:val="0"/>
      <w:divBdr>
        <w:top w:val="none" w:sz="0" w:space="0" w:color="auto"/>
        <w:left w:val="none" w:sz="0" w:space="0" w:color="auto"/>
        <w:bottom w:val="none" w:sz="0" w:space="0" w:color="auto"/>
        <w:right w:val="none" w:sz="0" w:space="0" w:color="auto"/>
      </w:divBdr>
    </w:div>
    <w:div w:id="208726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se/files/PDF-er/ar_foreign/swedish_rules_feb_%202010.pdf" TargetMode="External"/><Relationship Id="rId18" Type="http://schemas.openxmlformats.org/officeDocument/2006/relationships/hyperlink" Target="http://www.oecd.org/eco/growth/indicatorsofproductmarketregulationhomepage.htm" TargetMode="External"/><Relationship Id="rId26" Type="http://schemas.openxmlformats.org/officeDocument/2006/relationships/image" Target="media/image8.png"/><Relationship Id="rId39" Type="http://schemas.openxmlformats.org/officeDocument/2006/relationships/hyperlink" Target="http://www.imf.org/external/pubs/ft/fm/2016/02/fmindex.htm?cmpid=Bbanner" TargetMode="External"/><Relationship Id="rId21" Type="http://schemas.openxmlformats.org/officeDocument/2006/relationships/image" Target="media/image5.png"/><Relationship Id="rId34" Type="http://schemas.openxmlformats.org/officeDocument/2006/relationships/hyperlink" Target="http://www.imf.org/external/pubs/ft/weo/2016/02/index.htm" TargetMode="External"/><Relationship Id="rId42" Type="http://schemas.openxmlformats.org/officeDocument/2006/relationships/image" Target="media/image15.png"/><Relationship Id="rId47" Type="http://schemas.openxmlformats.org/officeDocument/2006/relationships/hyperlink" Target="mailto:info@sev.org.gr" TargetMode="External"/><Relationship Id="rId50" Type="http://schemas.openxmlformats.org/officeDocument/2006/relationships/hyperlink" Target="https://www.linkedin.com/company/sev-hellenic-federation-of-enteprises?trk=tyah&amp;trkInfo=tarId:1455633022674,tas:sev+hell,idx:1-1-1" TargetMode="External"/><Relationship Id="rId55" Type="http://schemas.openxmlformats.org/officeDocument/2006/relationships/image" Target="media/image2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ecd.org/employment/emp/oecdindicatorsofemploymentprotection.htm" TargetMode="External"/><Relationship Id="rId20" Type="http://schemas.openxmlformats.org/officeDocument/2006/relationships/hyperlink" Target="http://reports.weforum.org/global-competitiveness-index/" TargetMode="External"/><Relationship Id="rId29" Type="http://schemas.openxmlformats.org/officeDocument/2006/relationships/image" Target="media/image10.png"/><Relationship Id="rId41" Type="http://schemas.openxmlformats.org/officeDocument/2006/relationships/hyperlink" Target="http://www.imf.org/external/pubs/ft/fm/2016/02/fmindex.htm?cmpid=Bbanner" TargetMode="External"/><Relationship Id="rId54" Type="http://schemas.openxmlformats.org/officeDocument/2006/relationships/hyperlink" Target="https://www.youtube.com/channel/UCAYjK0gqOe_WVHYRBagCfMQ"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ypakp.gr/uploads/docs/9946.pdf" TargetMode="External"/><Relationship Id="rId32" Type="http://schemas.openxmlformats.org/officeDocument/2006/relationships/image" Target="media/image13.jpeg"/><Relationship Id="rId37" Type="http://schemas.openxmlformats.org/officeDocument/2006/relationships/hyperlink" Target="http://www.minfin.gr/sites/default/files/financial_files/PROSXEDIO_KRAT_PROYP_2017.pdf" TargetMode="External"/><Relationship Id="rId40" Type="http://schemas.openxmlformats.org/officeDocument/2006/relationships/hyperlink" Target="http://www.imf.org/external/pubs/ft/weo/2016/02/index.htm" TargetMode="External"/><Relationship Id="rId45" Type="http://schemas.openxmlformats.org/officeDocument/2006/relationships/hyperlink" Target="http://www.imf.org/external/pubs/ft/weo/2016/02/index.htm" TargetMode="External"/><Relationship Id="rId53" Type="http://schemas.openxmlformats.org/officeDocument/2006/relationships/image" Target="media/image19.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mf.org/external/pubs/ft/fm/2016/02/fmindex.htm?cmpid=Bbanner"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www.imf.org/external/pubs/ft/weo/2016/02/index.htm" TargetMode="External"/><Relationship Id="rId49" Type="http://schemas.openxmlformats.org/officeDocument/2006/relationships/hyperlink" Target="mailto:sevbrussels@proximus.be" TargetMode="External"/><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hyperlink" Target="http://reports.weforum.org/global-competitiveness-index/"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16.png"/><Relationship Id="rId52" Type="http://schemas.openxmlformats.org/officeDocument/2006/relationships/hyperlink" Target="https://twitter.com/SEV_Fed"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mf.org/external/pubs/ft/weo/2016/02/index.htm" TargetMode="External"/><Relationship Id="rId22" Type="http://schemas.openxmlformats.org/officeDocument/2006/relationships/hyperlink" Target="https://stats.oecd.org/Index.aspx?DataSetCode=UN_DEN" TargetMode="External"/><Relationship Id="rId27" Type="http://schemas.openxmlformats.org/officeDocument/2006/relationships/hyperlink" Target="http://www.minfin.gr/sites/default/files/financial_files/PROSXEDIO_KRAT_PROYP_2017.pdf" TargetMode="External"/><Relationship Id="rId30" Type="http://schemas.openxmlformats.org/officeDocument/2006/relationships/image" Target="media/image11.png"/><Relationship Id="rId35" Type="http://schemas.openxmlformats.org/officeDocument/2006/relationships/hyperlink" Target="http://www.imf.org/external/pubs/ft/fm/2016/02/fmindex.htm?cmpid=Bbanner" TargetMode="External"/><Relationship Id="rId43" Type="http://schemas.openxmlformats.org/officeDocument/2006/relationships/hyperlink" Target="http://www.imf.org/external/pubs/ft/fm/2016/02/fmindex.htm?cmpid=Bbanner" TargetMode="External"/><Relationship Id="rId48" Type="http://schemas.openxmlformats.org/officeDocument/2006/relationships/hyperlink" Target="http://www.sev.org.gr"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www.worker-participation.eu"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ec.europa.eu/economy_finance/assistance_eu_ms/greek_loan_facility/pdf/smou_en.pdf" TargetMode="External"/><Relationship Id="rId46" Type="http://schemas.openxmlformats.org/officeDocument/2006/relationships/image" Target="media/image17.jpeg"/><Relationship Id="rId59"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3" Type="http://schemas.openxmlformats.org/officeDocument/2006/relationships/hyperlink" Target="mailto:printsipas@sev.org.gr" TargetMode="External"/><Relationship Id="rId7" Type="http://schemas.openxmlformats.org/officeDocument/2006/relationships/image" Target="media/image22.png"/><Relationship Id="rId2" Type="http://schemas.openxmlformats.org/officeDocument/2006/relationships/hyperlink" Target="mailto:mmitsopoulos@sev.org.gr" TargetMode="External"/><Relationship Id="rId1" Type="http://schemas.openxmlformats.org/officeDocument/2006/relationships/hyperlink" Target="mailto:mmassourakis@sev.org.gr" TargetMode="External"/><Relationship Id="rId6" Type="http://schemas.openxmlformats.org/officeDocument/2006/relationships/hyperlink" Target="mailto:printsipas@sev.org.gr" TargetMode="External"/><Relationship Id="rId5" Type="http://schemas.openxmlformats.org/officeDocument/2006/relationships/hyperlink" Target="mailto:mmitsopoulos@sev.org.gr" TargetMode="External"/><Relationship Id="rId4" Type="http://schemas.openxmlformats.org/officeDocument/2006/relationships/hyperlink" Target="mailto:mmassourakis@sev.org.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531E2-A4F7-4BBE-ACEA-E13FFEE3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6368</Words>
  <Characters>34392</Characters>
  <Application>Microsoft Office Word</Application>
  <DocSecurity>0</DocSecurity>
  <Lines>286</Lines>
  <Paragraphs>81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MITSOPOULOS MICHAEL</dc:creator>
  <cp:lastModifiedBy>Enikos Default User</cp:lastModifiedBy>
  <cp:revision>2</cp:revision>
  <cp:lastPrinted>2016-10-06T12:57:00Z</cp:lastPrinted>
  <dcterms:created xsi:type="dcterms:W3CDTF">2016-10-06T14:43:00Z</dcterms:created>
  <dcterms:modified xsi:type="dcterms:W3CDTF">2016-10-06T14:43:00Z</dcterms:modified>
</cp:coreProperties>
</file>