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A1" w:rsidRDefault="009F3BA5" w:rsidP="00BA6418">
      <w:pPr>
        <w:jc w:val="center"/>
        <w:rPr>
          <w:b/>
          <w:sz w:val="28"/>
          <w:szCs w:val="28"/>
        </w:rPr>
      </w:pPr>
      <w:bookmarkStart w:id="0" w:name="_GoBack"/>
      <w:bookmarkEnd w:id="0"/>
      <w:r w:rsidRPr="009F3BA5">
        <w:rPr>
          <w:b/>
          <w:noProof/>
          <w:sz w:val="28"/>
          <w:szCs w:val="28"/>
        </w:rPr>
        <w:drawing>
          <wp:inline distT="0" distB="0" distL="0" distR="0">
            <wp:extent cx="5256399" cy="476250"/>
            <wp:effectExtent l="19050" t="0" r="1401"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477873"/>
                    </a:xfrm>
                    <a:prstGeom prst="rect">
                      <a:avLst/>
                    </a:prstGeom>
                    <a:noFill/>
                    <a:ln w="9525">
                      <a:noFill/>
                      <a:miter lim="800000"/>
                      <a:headEnd/>
                      <a:tailEnd/>
                    </a:ln>
                  </pic:spPr>
                </pic:pic>
              </a:graphicData>
            </a:graphic>
          </wp:inline>
        </w:drawing>
      </w:r>
    </w:p>
    <w:p w:rsidR="009F3BA5" w:rsidRDefault="009F3BA5" w:rsidP="009F3BA5">
      <w:pPr>
        <w:pStyle w:val="Default"/>
        <w:ind w:right="-360"/>
        <w:rPr>
          <w:sz w:val="26"/>
          <w:szCs w:val="26"/>
        </w:rPr>
      </w:pPr>
      <w:r>
        <w:rPr>
          <w:sz w:val="26"/>
          <w:szCs w:val="26"/>
        </w:rPr>
        <w:t xml:space="preserve">ΠΕΤΡΑΚΗ 8 Τ.Κ. 105 63 - ΑΘΗΝΑ ΤΗΛ: 210.32.59.170 – FAX: 210.32.59.169 </w:t>
      </w:r>
    </w:p>
    <w:p w:rsidR="009F3BA5" w:rsidRDefault="009F3BA5" w:rsidP="009F3BA5">
      <w:pPr>
        <w:pStyle w:val="Default"/>
        <w:ind w:left="-360" w:right="180"/>
        <w:jc w:val="center"/>
        <w:rPr>
          <w:rFonts w:asciiTheme="minorHAnsi" w:hAnsiTheme="minorHAnsi" w:cstheme="minorBidi"/>
          <w:b/>
          <w:i/>
          <w:color w:val="auto"/>
          <w:sz w:val="32"/>
          <w:szCs w:val="32"/>
          <w:u w:val="single"/>
        </w:rPr>
      </w:pPr>
    </w:p>
    <w:p w:rsidR="009F3BA5" w:rsidRDefault="009F3BA5" w:rsidP="009F3BA5">
      <w:pPr>
        <w:pStyle w:val="Default"/>
        <w:ind w:left="-360" w:right="180"/>
        <w:jc w:val="center"/>
        <w:rPr>
          <w:rFonts w:asciiTheme="minorHAnsi" w:hAnsiTheme="minorHAnsi" w:cstheme="minorBidi"/>
          <w:b/>
          <w:i/>
          <w:color w:val="auto"/>
          <w:sz w:val="32"/>
          <w:szCs w:val="32"/>
          <w:u w:val="single"/>
        </w:rPr>
      </w:pPr>
      <w:r w:rsidRPr="009F3BA5">
        <w:rPr>
          <w:rFonts w:asciiTheme="minorHAnsi" w:hAnsiTheme="minorHAnsi" w:cstheme="minorBidi"/>
          <w:b/>
          <w:i/>
          <w:color w:val="auto"/>
          <w:sz w:val="32"/>
          <w:szCs w:val="32"/>
          <w:u w:val="single"/>
        </w:rPr>
        <w:t>Ενημερωτικό Σημείωμα</w:t>
      </w:r>
    </w:p>
    <w:p w:rsidR="00BA6418" w:rsidRDefault="009F3BA5" w:rsidP="009F3BA5">
      <w:pPr>
        <w:spacing w:after="120"/>
        <w:jc w:val="center"/>
        <w:rPr>
          <w:b/>
          <w:sz w:val="28"/>
          <w:szCs w:val="28"/>
        </w:rPr>
      </w:pPr>
      <w:r>
        <w:rPr>
          <w:b/>
          <w:sz w:val="28"/>
          <w:szCs w:val="28"/>
        </w:rPr>
        <w:t xml:space="preserve">ΘΕΜΑ: </w:t>
      </w:r>
      <w:r w:rsidR="00BA6418" w:rsidRPr="009F3BA5">
        <w:rPr>
          <w:sz w:val="28"/>
          <w:szCs w:val="28"/>
        </w:rPr>
        <w:t>Μεταβολή τ</w:t>
      </w:r>
      <w:r w:rsidR="003357A1" w:rsidRPr="009F3BA5">
        <w:rPr>
          <w:sz w:val="28"/>
          <w:szCs w:val="28"/>
        </w:rPr>
        <w:t>ου τρόπου υπολογισμού των</w:t>
      </w:r>
      <w:r w:rsidR="00BA6418" w:rsidRPr="009F3BA5">
        <w:rPr>
          <w:sz w:val="28"/>
          <w:szCs w:val="28"/>
        </w:rPr>
        <w:t xml:space="preserve"> ασφαλιστικών εισφορών </w:t>
      </w:r>
      <w:r w:rsidR="00442450" w:rsidRPr="009F3BA5">
        <w:rPr>
          <w:sz w:val="28"/>
          <w:szCs w:val="28"/>
        </w:rPr>
        <w:t xml:space="preserve">εισοδημάτων από επιχειρηματική δραστηριότητα </w:t>
      </w:r>
      <w:r w:rsidR="00864936" w:rsidRPr="009F3BA5">
        <w:rPr>
          <w:sz w:val="28"/>
          <w:szCs w:val="28"/>
        </w:rPr>
        <w:t xml:space="preserve">φυσικών προσώπων </w:t>
      </w:r>
      <w:r w:rsidR="00442450" w:rsidRPr="009F3BA5">
        <w:rPr>
          <w:sz w:val="28"/>
          <w:szCs w:val="28"/>
        </w:rPr>
        <w:t>(</w:t>
      </w:r>
      <w:r w:rsidR="00864936" w:rsidRPr="009F3BA5">
        <w:rPr>
          <w:sz w:val="28"/>
          <w:szCs w:val="28"/>
        </w:rPr>
        <w:t>επιτηδευματίες</w:t>
      </w:r>
      <w:r w:rsidR="00442450" w:rsidRPr="009F3BA5">
        <w:rPr>
          <w:sz w:val="28"/>
          <w:szCs w:val="28"/>
        </w:rPr>
        <w:t>)</w:t>
      </w:r>
      <w:r w:rsidR="00BA6418" w:rsidRPr="009F3BA5">
        <w:rPr>
          <w:sz w:val="28"/>
          <w:szCs w:val="28"/>
        </w:rPr>
        <w:t>, από την εφαρμογή του νέου ΕΦΚΑ</w:t>
      </w:r>
    </w:p>
    <w:tbl>
      <w:tblPr>
        <w:tblStyle w:val="a3"/>
        <w:tblW w:w="10515" w:type="dxa"/>
        <w:tblInd w:w="-885" w:type="dxa"/>
        <w:tblLook w:val="04A0" w:firstRow="1" w:lastRow="0" w:firstColumn="1" w:lastColumn="0" w:noHBand="0" w:noVBand="1"/>
      </w:tblPr>
      <w:tblGrid>
        <w:gridCol w:w="1844"/>
        <w:gridCol w:w="2354"/>
        <w:gridCol w:w="1522"/>
        <w:gridCol w:w="1827"/>
        <w:gridCol w:w="1308"/>
        <w:gridCol w:w="1660"/>
      </w:tblGrid>
      <w:tr w:rsidR="00BA350B" w:rsidTr="00101345">
        <w:trPr>
          <w:trHeight w:val="834"/>
        </w:trPr>
        <w:tc>
          <w:tcPr>
            <w:tcW w:w="10515" w:type="dxa"/>
            <w:gridSpan w:val="6"/>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BA350B" w:rsidRDefault="00BA350B" w:rsidP="001D754D">
            <w:pPr>
              <w:jc w:val="center"/>
              <w:rPr>
                <w:sz w:val="28"/>
                <w:szCs w:val="28"/>
              </w:rPr>
            </w:pPr>
            <w:r w:rsidRPr="00BA6418">
              <w:rPr>
                <w:b/>
                <w:sz w:val="26"/>
                <w:szCs w:val="26"/>
              </w:rPr>
              <w:t>Πίνακας 1:</w:t>
            </w:r>
            <w:r>
              <w:rPr>
                <w:sz w:val="28"/>
                <w:szCs w:val="28"/>
              </w:rPr>
              <w:t xml:space="preserve"> </w:t>
            </w:r>
            <w:r w:rsidR="003357A1">
              <w:rPr>
                <w:sz w:val="24"/>
                <w:szCs w:val="24"/>
              </w:rPr>
              <w:t>Σύγκριση ασφαλιστικών εισφορών ΟΑΕΕ/νέο</w:t>
            </w:r>
            <w:r w:rsidR="00864936">
              <w:rPr>
                <w:sz w:val="24"/>
                <w:szCs w:val="24"/>
              </w:rPr>
              <w:t>ς</w:t>
            </w:r>
            <w:r w:rsidR="003357A1">
              <w:rPr>
                <w:sz w:val="24"/>
                <w:szCs w:val="24"/>
              </w:rPr>
              <w:t xml:space="preserve"> ΕΦΚΑ</w:t>
            </w:r>
            <w:r w:rsidR="00442450">
              <w:rPr>
                <w:sz w:val="24"/>
                <w:szCs w:val="24"/>
              </w:rPr>
              <w:t xml:space="preserve"> για </w:t>
            </w:r>
            <w:r w:rsidR="00864936" w:rsidRPr="00864936">
              <w:rPr>
                <w:sz w:val="24"/>
                <w:szCs w:val="24"/>
              </w:rPr>
              <w:t>εισοδήματα από επιχειρηματική δραστηριότητα</w:t>
            </w:r>
            <w:r w:rsidR="00864936">
              <w:rPr>
                <w:sz w:val="24"/>
                <w:szCs w:val="24"/>
              </w:rPr>
              <w:t xml:space="preserve"> φυσικών προσώπων</w:t>
            </w:r>
            <w:r w:rsidR="00864936" w:rsidRPr="00864936">
              <w:rPr>
                <w:sz w:val="24"/>
                <w:szCs w:val="24"/>
              </w:rPr>
              <w:t xml:space="preserve"> (</w:t>
            </w:r>
            <w:r w:rsidR="00864936">
              <w:rPr>
                <w:sz w:val="24"/>
                <w:szCs w:val="24"/>
              </w:rPr>
              <w:t>επιτηδευματίες</w:t>
            </w:r>
            <w:r w:rsidR="00864936" w:rsidRPr="00864936">
              <w:rPr>
                <w:sz w:val="24"/>
                <w:szCs w:val="24"/>
              </w:rPr>
              <w:t>)</w:t>
            </w:r>
          </w:p>
        </w:tc>
      </w:tr>
      <w:tr w:rsidR="00391186" w:rsidTr="00101345">
        <w:trPr>
          <w:trHeight w:val="1257"/>
        </w:trPr>
        <w:tc>
          <w:tcPr>
            <w:tcW w:w="184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3357A1" w:rsidRPr="00BA6418" w:rsidRDefault="003357A1" w:rsidP="00AD6122">
            <w:pPr>
              <w:jc w:val="center"/>
              <w:rPr>
                <w:b/>
                <w:sz w:val="24"/>
                <w:szCs w:val="24"/>
              </w:rPr>
            </w:pPr>
          </w:p>
        </w:tc>
        <w:tc>
          <w:tcPr>
            <w:tcW w:w="3876"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3357A1" w:rsidRPr="00BA6418" w:rsidRDefault="003357A1" w:rsidP="00831B38">
            <w:pPr>
              <w:jc w:val="center"/>
              <w:rPr>
                <w:b/>
                <w:sz w:val="24"/>
                <w:szCs w:val="24"/>
              </w:rPr>
            </w:pPr>
            <w:r w:rsidRPr="001D754D">
              <w:rPr>
                <w:b/>
                <w:sz w:val="24"/>
                <w:szCs w:val="24"/>
              </w:rPr>
              <w:t>Φορολογικό έτος 2016</w:t>
            </w:r>
            <w:r w:rsidRPr="00BA6418">
              <w:rPr>
                <w:sz w:val="24"/>
                <w:szCs w:val="24"/>
              </w:rPr>
              <w:t xml:space="preserve"> </w:t>
            </w:r>
            <w:r>
              <w:rPr>
                <w:sz w:val="24"/>
                <w:szCs w:val="24"/>
              </w:rPr>
              <w:t xml:space="preserve">                          -</w:t>
            </w:r>
            <w:r w:rsidRPr="00BA6418">
              <w:rPr>
                <w:sz w:val="24"/>
                <w:szCs w:val="24"/>
              </w:rPr>
              <w:t xml:space="preserve"> </w:t>
            </w:r>
            <w:r w:rsidR="00101345">
              <w:rPr>
                <w:sz w:val="24"/>
                <w:szCs w:val="24"/>
              </w:rPr>
              <w:t xml:space="preserve">Εκκαθαρισμένα </w:t>
            </w:r>
            <w:r w:rsidRPr="00BA6418">
              <w:rPr>
                <w:sz w:val="24"/>
                <w:szCs w:val="24"/>
              </w:rPr>
              <w:t>Εισοδήματα 2015</w:t>
            </w:r>
            <w:r>
              <w:rPr>
                <w:sz w:val="24"/>
                <w:szCs w:val="24"/>
              </w:rPr>
              <w:t xml:space="preserve"> -</w:t>
            </w:r>
            <w:r w:rsidRPr="00BA6418">
              <w:rPr>
                <w:sz w:val="24"/>
                <w:szCs w:val="24"/>
              </w:rPr>
              <w:t xml:space="preserve"> </w:t>
            </w:r>
            <w:r>
              <w:rPr>
                <w:sz w:val="24"/>
                <w:szCs w:val="24"/>
              </w:rPr>
              <w:t xml:space="preserve">                             </w:t>
            </w:r>
            <w:r>
              <w:rPr>
                <w:sz w:val="21"/>
                <w:szCs w:val="21"/>
              </w:rPr>
              <w:t>(</w:t>
            </w:r>
            <w:r w:rsidRPr="00AD6122">
              <w:rPr>
                <w:sz w:val="21"/>
                <w:szCs w:val="21"/>
              </w:rPr>
              <w:t>4</w:t>
            </w:r>
            <w:r w:rsidRPr="003357A1">
              <w:rPr>
                <w:sz w:val="21"/>
                <w:szCs w:val="21"/>
                <w:vertAlign w:val="superscript"/>
              </w:rPr>
              <w:t>η</w:t>
            </w:r>
            <w:r w:rsidRPr="00AD6122">
              <w:rPr>
                <w:sz w:val="21"/>
                <w:szCs w:val="21"/>
              </w:rPr>
              <w:t xml:space="preserve"> Ασφαλιστική κλάση νέων ασφαλισμένων σε ΟΑΕΕ</w:t>
            </w:r>
            <w:r>
              <w:rPr>
                <w:sz w:val="21"/>
                <w:szCs w:val="21"/>
              </w:rPr>
              <w:t>)</w:t>
            </w:r>
          </w:p>
        </w:tc>
        <w:tc>
          <w:tcPr>
            <w:tcW w:w="3135"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3357A1" w:rsidRPr="00BA6418" w:rsidRDefault="003357A1" w:rsidP="00BA350B">
            <w:pPr>
              <w:jc w:val="center"/>
              <w:rPr>
                <w:b/>
                <w:sz w:val="24"/>
                <w:szCs w:val="24"/>
              </w:rPr>
            </w:pPr>
            <w:r w:rsidRPr="001D754D">
              <w:rPr>
                <w:b/>
                <w:sz w:val="24"/>
                <w:szCs w:val="24"/>
              </w:rPr>
              <w:t>Φορολογικό έτος 2017</w:t>
            </w:r>
            <w:r w:rsidRPr="00BA6418">
              <w:rPr>
                <w:sz w:val="24"/>
                <w:szCs w:val="24"/>
              </w:rPr>
              <w:t xml:space="preserve"> </w:t>
            </w:r>
            <w:r>
              <w:rPr>
                <w:sz w:val="24"/>
                <w:szCs w:val="24"/>
              </w:rPr>
              <w:t xml:space="preserve">           </w:t>
            </w:r>
            <w:r w:rsidRPr="00BA6418">
              <w:rPr>
                <w:sz w:val="24"/>
                <w:szCs w:val="24"/>
              </w:rPr>
              <w:t xml:space="preserve"> </w:t>
            </w:r>
            <w:r>
              <w:rPr>
                <w:sz w:val="24"/>
                <w:szCs w:val="24"/>
              </w:rPr>
              <w:t>- νέος ΕΦΚΑ -</w:t>
            </w:r>
          </w:p>
        </w:tc>
        <w:tc>
          <w:tcPr>
            <w:tcW w:w="1660" w:type="dxa"/>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3357A1" w:rsidRDefault="003357A1" w:rsidP="003357A1">
            <w:pPr>
              <w:jc w:val="center"/>
              <w:rPr>
                <w:b/>
                <w:sz w:val="24"/>
                <w:szCs w:val="24"/>
              </w:rPr>
            </w:pPr>
            <w:r w:rsidRPr="003357A1">
              <w:rPr>
                <w:sz w:val="24"/>
                <w:szCs w:val="24"/>
              </w:rPr>
              <w:t>Σύγκριση επιβαρύνσεων ασφαλιστικών εισφορών</w:t>
            </w:r>
            <w:r>
              <w:rPr>
                <w:b/>
                <w:sz w:val="24"/>
                <w:szCs w:val="24"/>
              </w:rPr>
              <w:t xml:space="preserve"> 2017/2016</w:t>
            </w:r>
          </w:p>
          <w:p w:rsidR="00A362F2" w:rsidRPr="00BA6418" w:rsidRDefault="00A362F2" w:rsidP="003357A1">
            <w:pPr>
              <w:jc w:val="center"/>
              <w:rPr>
                <w:b/>
                <w:sz w:val="24"/>
                <w:szCs w:val="24"/>
              </w:rPr>
            </w:pPr>
            <w:r w:rsidRPr="00A362F2">
              <w:rPr>
                <w:sz w:val="20"/>
                <w:szCs w:val="20"/>
              </w:rPr>
              <w:t>(στ)=(δ)-(β)</w:t>
            </w:r>
          </w:p>
        </w:tc>
      </w:tr>
      <w:tr w:rsidR="00391186" w:rsidTr="00101345">
        <w:trPr>
          <w:trHeight w:val="695"/>
        </w:trPr>
        <w:tc>
          <w:tcPr>
            <w:tcW w:w="1844"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3357A1" w:rsidRDefault="003357A1" w:rsidP="00BA6418">
            <w:pPr>
              <w:jc w:val="center"/>
              <w:rPr>
                <w:b/>
                <w:sz w:val="24"/>
                <w:szCs w:val="24"/>
              </w:rPr>
            </w:pPr>
            <w:r w:rsidRPr="00BA6418">
              <w:rPr>
                <w:b/>
                <w:sz w:val="24"/>
                <w:szCs w:val="24"/>
              </w:rPr>
              <w:t>Κέρδη</w:t>
            </w:r>
            <w:r w:rsidR="00101345">
              <w:rPr>
                <w:b/>
                <w:sz w:val="24"/>
                <w:szCs w:val="24"/>
              </w:rPr>
              <w:t xml:space="preserve"> </w:t>
            </w:r>
            <w:r w:rsidRPr="00BA6418">
              <w:rPr>
                <w:b/>
                <w:sz w:val="24"/>
                <w:szCs w:val="24"/>
              </w:rPr>
              <w:t xml:space="preserve">προ </w:t>
            </w:r>
            <w:r>
              <w:rPr>
                <w:b/>
                <w:sz w:val="24"/>
                <w:szCs w:val="24"/>
              </w:rPr>
              <w:t xml:space="preserve">         </w:t>
            </w:r>
            <w:r w:rsidR="00391186">
              <w:rPr>
                <w:b/>
                <w:sz w:val="24"/>
                <w:szCs w:val="24"/>
              </w:rPr>
              <w:t xml:space="preserve">ασφαλιστικών </w:t>
            </w:r>
            <w:r w:rsidRPr="00BA6418">
              <w:rPr>
                <w:b/>
                <w:sz w:val="24"/>
                <w:szCs w:val="24"/>
              </w:rPr>
              <w:t>εισφορών</w:t>
            </w:r>
            <w:r w:rsidR="00101345">
              <w:rPr>
                <w:b/>
                <w:sz w:val="24"/>
                <w:szCs w:val="24"/>
              </w:rPr>
              <w:t xml:space="preserve"> </w:t>
            </w:r>
          </w:p>
          <w:p w:rsidR="00A362F2" w:rsidRPr="00A362F2" w:rsidRDefault="00A362F2" w:rsidP="00A362F2">
            <w:pPr>
              <w:jc w:val="center"/>
              <w:rPr>
                <w:sz w:val="20"/>
                <w:szCs w:val="20"/>
              </w:rPr>
            </w:pPr>
            <w:r w:rsidRPr="00A362F2">
              <w:rPr>
                <w:sz w:val="20"/>
                <w:szCs w:val="20"/>
              </w:rPr>
              <w:t>(α)</w:t>
            </w:r>
          </w:p>
        </w:tc>
        <w:tc>
          <w:tcPr>
            <w:tcW w:w="2354" w:type="dxa"/>
            <w:tcBorders>
              <w:top w:val="double" w:sz="4" w:space="0" w:color="auto"/>
              <w:left w:val="double" w:sz="4" w:space="0" w:color="auto"/>
              <w:bottom w:val="double" w:sz="4" w:space="0" w:color="auto"/>
            </w:tcBorders>
            <w:shd w:val="clear" w:color="auto" w:fill="B8CCE4" w:themeFill="accent1" w:themeFillTint="66"/>
            <w:vAlign w:val="center"/>
          </w:tcPr>
          <w:p w:rsidR="003357A1" w:rsidRDefault="003357A1" w:rsidP="00BA350B">
            <w:pPr>
              <w:jc w:val="center"/>
              <w:rPr>
                <w:b/>
                <w:sz w:val="24"/>
                <w:szCs w:val="24"/>
              </w:rPr>
            </w:pPr>
            <w:r w:rsidRPr="00BA6418">
              <w:rPr>
                <w:b/>
                <w:sz w:val="24"/>
                <w:szCs w:val="24"/>
              </w:rPr>
              <w:t xml:space="preserve">Ασφαλιστικές </w:t>
            </w:r>
            <w:r>
              <w:rPr>
                <w:b/>
                <w:sz w:val="24"/>
                <w:szCs w:val="24"/>
              </w:rPr>
              <w:t xml:space="preserve"> </w:t>
            </w:r>
          </w:p>
          <w:p w:rsidR="003357A1" w:rsidRDefault="003357A1" w:rsidP="00BA350B">
            <w:pPr>
              <w:jc w:val="center"/>
              <w:rPr>
                <w:sz w:val="20"/>
                <w:szCs w:val="20"/>
              </w:rPr>
            </w:pPr>
            <w:r w:rsidRPr="00BA6418">
              <w:rPr>
                <w:b/>
                <w:sz w:val="24"/>
                <w:szCs w:val="24"/>
              </w:rPr>
              <w:t>εισφορές</w:t>
            </w:r>
            <w:r>
              <w:rPr>
                <w:b/>
                <w:sz w:val="24"/>
                <w:szCs w:val="24"/>
              </w:rPr>
              <w:t xml:space="preserve">               </w:t>
            </w:r>
            <w:r w:rsidRPr="00BA350B">
              <w:rPr>
                <w:sz w:val="20"/>
                <w:szCs w:val="20"/>
              </w:rPr>
              <w:t>(σύνταξης + υγείας</w:t>
            </w:r>
            <w:r w:rsidR="00E91260">
              <w:rPr>
                <w:sz w:val="20"/>
                <w:szCs w:val="20"/>
              </w:rPr>
              <w:t xml:space="preserve"> + ανεργίας</w:t>
            </w:r>
            <w:r w:rsidRPr="00BA350B">
              <w:rPr>
                <w:sz w:val="20"/>
                <w:szCs w:val="20"/>
              </w:rPr>
              <w:t>)</w:t>
            </w:r>
          </w:p>
          <w:p w:rsidR="00A362F2" w:rsidRDefault="00A362F2" w:rsidP="00BA350B">
            <w:pPr>
              <w:jc w:val="center"/>
              <w:rPr>
                <w:sz w:val="28"/>
                <w:szCs w:val="28"/>
              </w:rPr>
            </w:pPr>
            <w:r>
              <w:rPr>
                <w:sz w:val="20"/>
                <w:szCs w:val="20"/>
              </w:rPr>
              <w:t>(β)</w:t>
            </w:r>
          </w:p>
        </w:tc>
        <w:tc>
          <w:tcPr>
            <w:tcW w:w="1522" w:type="dxa"/>
            <w:tcBorders>
              <w:top w:val="double" w:sz="4" w:space="0" w:color="auto"/>
              <w:bottom w:val="double" w:sz="4" w:space="0" w:color="auto"/>
              <w:right w:val="double" w:sz="4" w:space="0" w:color="auto"/>
            </w:tcBorders>
            <w:shd w:val="clear" w:color="auto" w:fill="B8CCE4" w:themeFill="accent1" w:themeFillTint="66"/>
            <w:vAlign w:val="center"/>
          </w:tcPr>
          <w:p w:rsidR="003357A1" w:rsidRDefault="003357A1" w:rsidP="00BA6418">
            <w:pPr>
              <w:jc w:val="center"/>
              <w:rPr>
                <w:b/>
                <w:sz w:val="24"/>
                <w:szCs w:val="24"/>
              </w:rPr>
            </w:pPr>
            <w:r w:rsidRPr="00BA6418">
              <w:rPr>
                <w:b/>
                <w:sz w:val="24"/>
                <w:szCs w:val="24"/>
              </w:rPr>
              <w:t>Καθαρά</w:t>
            </w:r>
            <w:r>
              <w:rPr>
                <w:b/>
                <w:sz w:val="24"/>
                <w:szCs w:val="24"/>
              </w:rPr>
              <w:t xml:space="preserve">                      </w:t>
            </w:r>
            <w:r w:rsidRPr="00BA6418">
              <w:rPr>
                <w:b/>
                <w:sz w:val="24"/>
                <w:szCs w:val="24"/>
              </w:rPr>
              <w:t xml:space="preserve"> κέρδη</w:t>
            </w:r>
            <w:r w:rsidR="00101345">
              <w:rPr>
                <w:b/>
                <w:sz w:val="24"/>
                <w:szCs w:val="24"/>
              </w:rPr>
              <w:t xml:space="preserve"> </w:t>
            </w:r>
          </w:p>
          <w:p w:rsidR="00A362F2" w:rsidRDefault="00A362F2" w:rsidP="00A362F2">
            <w:pPr>
              <w:jc w:val="center"/>
              <w:rPr>
                <w:sz w:val="28"/>
                <w:szCs w:val="28"/>
              </w:rPr>
            </w:pPr>
            <w:r>
              <w:rPr>
                <w:sz w:val="20"/>
                <w:szCs w:val="20"/>
              </w:rPr>
              <w:t>(γ) = (α)-(β)</w:t>
            </w:r>
          </w:p>
        </w:tc>
        <w:tc>
          <w:tcPr>
            <w:tcW w:w="1827" w:type="dxa"/>
            <w:tcBorders>
              <w:top w:val="double" w:sz="4" w:space="0" w:color="auto"/>
              <w:left w:val="double" w:sz="4" w:space="0" w:color="auto"/>
              <w:bottom w:val="double" w:sz="4" w:space="0" w:color="auto"/>
            </w:tcBorders>
            <w:shd w:val="clear" w:color="auto" w:fill="B8CCE4" w:themeFill="accent1" w:themeFillTint="66"/>
            <w:vAlign w:val="center"/>
          </w:tcPr>
          <w:p w:rsidR="003357A1" w:rsidRDefault="003357A1" w:rsidP="003357A1">
            <w:pPr>
              <w:jc w:val="center"/>
              <w:rPr>
                <w:b/>
                <w:sz w:val="24"/>
                <w:szCs w:val="24"/>
              </w:rPr>
            </w:pPr>
            <w:r w:rsidRPr="00BA6418">
              <w:rPr>
                <w:b/>
                <w:sz w:val="24"/>
                <w:szCs w:val="24"/>
              </w:rPr>
              <w:t xml:space="preserve">Ασφαλιστικές </w:t>
            </w:r>
            <w:r>
              <w:rPr>
                <w:b/>
                <w:sz w:val="24"/>
                <w:szCs w:val="24"/>
              </w:rPr>
              <w:t xml:space="preserve"> </w:t>
            </w:r>
          </w:p>
          <w:p w:rsidR="003357A1" w:rsidRDefault="003357A1" w:rsidP="003357A1">
            <w:pPr>
              <w:jc w:val="center"/>
              <w:rPr>
                <w:sz w:val="20"/>
                <w:szCs w:val="20"/>
              </w:rPr>
            </w:pPr>
            <w:r w:rsidRPr="00BA6418">
              <w:rPr>
                <w:b/>
                <w:sz w:val="24"/>
                <w:szCs w:val="24"/>
              </w:rPr>
              <w:t>εισφορές</w:t>
            </w:r>
            <w:r>
              <w:rPr>
                <w:b/>
                <w:sz w:val="24"/>
                <w:szCs w:val="24"/>
              </w:rPr>
              <w:t xml:space="preserve">               </w:t>
            </w:r>
            <w:r w:rsidRPr="00BA350B">
              <w:rPr>
                <w:sz w:val="20"/>
                <w:szCs w:val="20"/>
              </w:rPr>
              <w:t>(σύνταξης + υγείας</w:t>
            </w:r>
            <w:r w:rsidR="00E91260">
              <w:rPr>
                <w:sz w:val="20"/>
                <w:szCs w:val="20"/>
              </w:rPr>
              <w:t xml:space="preserve"> + ανεργίας</w:t>
            </w:r>
            <w:r w:rsidRPr="00BA350B">
              <w:rPr>
                <w:sz w:val="20"/>
                <w:szCs w:val="20"/>
              </w:rPr>
              <w:t>)</w:t>
            </w:r>
          </w:p>
          <w:p w:rsidR="00A362F2" w:rsidRDefault="00A362F2" w:rsidP="00A362F2">
            <w:pPr>
              <w:jc w:val="center"/>
              <w:rPr>
                <w:sz w:val="28"/>
                <w:szCs w:val="28"/>
              </w:rPr>
            </w:pPr>
            <w:r>
              <w:rPr>
                <w:sz w:val="20"/>
                <w:szCs w:val="20"/>
              </w:rPr>
              <w:t>(δ)</w:t>
            </w:r>
          </w:p>
        </w:tc>
        <w:tc>
          <w:tcPr>
            <w:tcW w:w="1308" w:type="dxa"/>
            <w:tcBorders>
              <w:top w:val="double" w:sz="4" w:space="0" w:color="auto"/>
              <w:bottom w:val="double" w:sz="4" w:space="0" w:color="auto"/>
              <w:right w:val="double" w:sz="4" w:space="0" w:color="auto"/>
            </w:tcBorders>
            <w:shd w:val="clear" w:color="auto" w:fill="B8CCE4" w:themeFill="accent1" w:themeFillTint="66"/>
            <w:vAlign w:val="center"/>
          </w:tcPr>
          <w:p w:rsidR="003357A1" w:rsidRDefault="003357A1" w:rsidP="00831B38">
            <w:pPr>
              <w:jc w:val="center"/>
              <w:rPr>
                <w:b/>
                <w:sz w:val="24"/>
                <w:szCs w:val="24"/>
              </w:rPr>
            </w:pPr>
            <w:r w:rsidRPr="00BA6418">
              <w:rPr>
                <w:b/>
                <w:sz w:val="24"/>
                <w:szCs w:val="24"/>
              </w:rPr>
              <w:t>Καθαρά</w:t>
            </w:r>
            <w:r>
              <w:rPr>
                <w:b/>
                <w:sz w:val="24"/>
                <w:szCs w:val="24"/>
              </w:rPr>
              <w:t xml:space="preserve">                      </w:t>
            </w:r>
            <w:r w:rsidRPr="00BA6418">
              <w:rPr>
                <w:b/>
                <w:sz w:val="24"/>
                <w:szCs w:val="24"/>
              </w:rPr>
              <w:t xml:space="preserve"> κέρδη</w:t>
            </w:r>
          </w:p>
          <w:p w:rsidR="00A362F2" w:rsidRDefault="00A362F2" w:rsidP="00A362F2">
            <w:pPr>
              <w:jc w:val="center"/>
              <w:rPr>
                <w:sz w:val="28"/>
                <w:szCs w:val="28"/>
              </w:rPr>
            </w:pPr>
            <w:r>
              <w:rPr>
                <w:sz w:val="20"/>
                <w:szCs w:val="20"/>
              </w:rPr>
              <w:t>(ε)=(α)-(δ)</w:t>
            </w:r>
          </w:p>
        </w:tc>
        <w:tc>
          <w:tcPr>
            <w:tcW w:w="1660" w:type="dxa"/>
            <w:vMerge/>
            <w:tcBorders>
              <w:left w:val="double" w:sz="4" w:space="0" w:color="auto"/>
              <w:bottom w:val="double" w:sz="4" w:space="0" w:color="auto"/>
              <w:right w:val="double" w:sz="4" w:space="0" w:color="auto"/>
            </w:tcBorders>
            <w:shd w:val="clear" w:color="auto" w:fill="B8CCE4" w:themeFill="accent1" w:themeFillTint="66"/>
          </w:tcPr>
          <w:p w:rsidR="003357A1" w:rsidRPr="00BA6418" w:rsidRDefault="003357A1" w:rsidP="00BA6418">
            <w:pPr>
              <w:jc w:val="center"/>
              <w:rPr>
                <w:b/>
                <w:sz w:val="24"/>
                <w:szCs w:val="24"/>
              </w:rPr>
            </w:pPr>
          </w:p>
        </w:tc>
      </w:tr>
      <w:tr w:rsidR="00245A1C" w:rsidTr="009D5BD1">
        <w:tc>
          <w:tcPr>
            <w:tcW w:w="1844" w:type="dxa"/>
            <w:tcBorders>
              <w:top w:val="double" w:sz="4" w:space="0" w:color="auto"/>
              <w:left w:val="double" w:sz="4" w:space="0" w:color="auto"/>
              <w:right w:val="double" w:sz="4" w:space="0" w:color="auto"/>
            </w:tcBorders>
            <w:vAlign w:val="center"/>
          </w:tcPr>
          <w:p w:rsidR="00245A1C" w:rsidRPr="00BA6418" w:rsidRDefault="00245A1C" w:rsidP="00BA6418">
            <w:pPr>
              <w:jc w:val="center"/>
              <w:rPr>
                <w:sz w:val="23"/>
                <w:szCs w:val="23"/>
              </w:rPr>
            </w:pPr>
            <w:r w:rsidRPr="00BA6418">
              <w:rPr>
                <w:sz w:val="23"/>
                <w:szCs w:val="23"/>
              </w:rPr>
              <w:t>5.000 €</w:t>
            </w:r>
          </w:p>
        </w:tc>
        <w:tc>
          <w:tcPr>
            <w:tcW w:w="2354" w:type="dxa"/>
            <w:tcBorders>
              <w:top w:val="double" w:sz="4" w:space="0" w:color="auto"/>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top w:val="double" w:sz="4" w:space="0" w:color="auto"/>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795,6 €</w:t>
            </w:r>
          </w:p>
        </w:tc>
        <w:tc>
          <w:tcPr>
            <w:tcW w:w="1827" w:type="dxa"/>
            <w:tcBorders>
              <w:top w:val="double" w:sz="4" w:space="0" w:color="auto"/>
              <w:left w:val="double" w:sz="4" w:space="0" w:color="auto"/>
            </w:tcBorders>
            <w:vAlign w:val="bottom"/>
          </w:tcPr>
          <w:p w:rsidR="00245A1C" w:rsidRPr="007E1B05" w:rsidRDefault="00245A1C" w:rsidP="007E1B05">
            <w:pPr>
              <w:jc w:val="center"/>
              <w:rPr>
                <w:b/>
                <w:sz w:val="23"/>
                <w:szCs w:val="23"/>
              </w:rPr>
            </w:pPr>
            <w:r w:rsidRPr="007E1B05">
              <w:rPr>
                <w:b/>
                <w:sz w:val="23"/>
                <w:szCs w:val="23"/>
              </w:rPr>
              <w:t>2.015,4 €</w:t>
            </w:r>
          </w:p>
        </w:tc>
        <w:tc>
          <w:tcPr>
            <w:tcW w:w="1308" w:type="dxa"/>
            <w:tcBorders>
              <w:top w:val="double" w:sz="4" w:space="0" w:color="auto"/>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2.984,6 €</w:t>
            </w:r>
          </w:p>
        </w:tc>
        <w:tc>
          <w:tcPr>
            <w:tcW w:w="1660" w:type="dxa"/>
            <w:tcBorders>
              <w:top w:val="double" w:sz="4" w:space="0" w:color="auto"/>
              <w:left w:val="double" w:sz="4" w:space="0" w:color="auto"/>
              <w:right w:val="double" w:sz="4" w:space="0" w:color="auto"/>
            </w:tcBorders>
            <w:vAlign w:val="bottom"/>
          </w:tcPr>
          <w:p w:rsidR="00245A1C" w:rsidRPr="00245A1C" w:rsidRDefault="00245A1C" w:rsidP="00245A1C">
            <w:pPr>
              <w:jc w:val="center"/>
              <w:rPr>
                <w:rFonts w:ascii="Calibri" w:hAnsi="Calibri" w:cs="Calibri"/>
                <w:b/>
                <w:color w:val="FF0000"/>
              </w:rPr>
            </w:pPr>
            <w:r w:rsidRPr="00245A1C">
              <w:rPr>
                <w:rFonts w:ascii="Calibri" w:hAnsi="Calibri" w:cs="Calibri"/>
                <w:b/>
                <w:color w:val="FF0000"/>
              </w:rPr>
              <w:t>-2.189,0 €</w:t>
            </w:r>
          </w:p>
        </w:tc>
      </w:tr>
      <w:tr w:rsidR="00245A1C" w:rsidTr="009D5BD1">
        <w:tc>
          <w:tcPr>
            <w:tcW w:w="1844" w:type="dxa"/>
            <w:tcBorders>
              <w:left w:val="double" w:sz="4" w:space="0" w:color="auto"/>
              <w:right w:val="double" w:sz="4" w:space="0" w:color="auto"/>
            </w:tcBorders>
            <w:vAlign w:val="center"/>
          </w:tcPr>
          <w:p w:rsidR="00245A1C" w:rsidRPr="00BA6418" w:rsidRDefault="00245A1C" w:rsidP="00BA6418">
            <w:pPr>
              <w:jc w:val="center"/>
              <w:rPr>
                <w:sz w:val="23"/>
                <w:szCs w:val="23"/>
              </w:rPr>
            </w:pPr>
            <w:r w:rsidRPr="00BA6418">
              <w:rPr>
                <w:sz w:val="23"/>
                <w:szCs w:val="23"/>
              </w:rPr>
              <w:t>10.000 €</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5.795,6 €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2.015,4 €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7.984,6 €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FF0000"/>
              </w:rPr>
            </w:pPr>
            <w:r w:rsidRPr="00245A1C">
              <w:rPr>
                <w:rFonts w:ascii="Calibri" w:hAnsi="Calibri" w:cs="Calibri"/>
                <w:b/>
                <w:color w:val="FF0000"/>
              </w:rPr>
              <w:t>-2.189,0 €</w:t>
            </w:r>
          </w:p>
        </w:tc>
      </w:tr>
      <w:tr w:rsidR="00245A1C" w:rsidTr="009D5BD1">
        <w:tc>
          <w:tcPr>
            <w:tcW w:w="1844" w:type="dxa"/>
            <w:tcBorders>
              <w:left w:val="double" w:sz="4" w:space="0" w:color="auto"/>
              <w:right w:val="double" w:sz="4" w:space="0" w:color="auto"/>
            </w:tcBorders>
            <w:vAlign w:val="center"/>
          </w:tcPr>
          <w:p w:rsidR="00245A1C" w:rsidRPr="00BA6418" w:rsidRDefault="00245A1C" w:rsidP="00BA6418">
            <w:pPr>
              <w:jc w:val="center"/>
              <w:rPr>
                <w:sz w:val="23"/>
                <w:szCs w:val="23"/>
              </w:rPr>
            </w:pPr>
            <w:r w:rsidRPr="00BA6418">
              <w:rPr>
                <w:sz w:val="23"/>
                <w:szCs w:val="23"/>
              </w:rPr>
              <w:t xml:space="preserve">15.000 </w:t>
            </w:r>
            <w:r w:rsidRPr="00BA6418">
              <w:rPr>
                <w:rFonts w:cstheme="minorHAnsi"/>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10.795,6 €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3.077,9 €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11.922,1 €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FF0000"/>
              </w:rPr>
            </w:pPr>
            <w:r w:rsidRPr="00245A1C">
              <w:rPr>
                <w:rFonts w:ascii="Calibri" w:hAnsi="Calibri" w:cs="Calibri"/>
                <w:b/>
                <w:color w:val="FF0000"/>
              </w:rPr>
              <w:t>-1.126,5 €</w:t>
            </w:r>
          </w:p>
        </w:tc>
      </w:tr>
      <w:tr w:rsidR="00245A1C" w:rsidTr="009D5BD1">
        <w:tc>
          <w:tcPr>
            <w:tcW w:w="1844" w:type="dxa"/>
            <w:tcBorders>
              <w:left w:val="double" w:sz="4" w:space="0" w:color="auto"/>
              <w:right w:val="double" w:sz="4" w:space="0" w:color="auto"/>
            </w:tcBorders>
            <w:vAlign w:val="center"/>
          </w:tcPr>
          <w:p w:rsidR="00245A1C" w:rsidRPr="00BA6418" w:rsidRDefault="00245A1C" w:rsidP="00BA6418">
            <w:pPr>
              <w:jc w:val="center"/>
              <w:rPr>
                <w:sz w:val="23"/>
                <w:szCs w:val="23"/>
              </w:rPr>
            </w:pPr>
            <w:r w:rsidRPr="00BA6418">
              <w:rPr>
                <w:sz w:val="23"/>
                <w:szCs w:val="23"/>
              </w:rPr>
              <w:t xml:space="preserve">20.000 </w:t>
            </w:r>
            <w:r w:rsidRPr="00BA6418">
              <w:rPr>
                <w:rFonts w:cstheme="minorHAnsi"/>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15.795,6 €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4.425,4 €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15.574,6 €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221,0 €</w:t>
            </w:r>
          </w:p>
        </w:tc>
      </w:tr>
      <w:tr w:rsidR="00245A1C" w:rsidTr="009D5BD1">
        <w:tc>
          <w:tcPr>
            <w:tcW w:w="1844" w:type="dxa"/>
            <w:tcBorders>
              <w:left w:val="double" w:sz="4" w:space="0" w:color="auto"/>
              <w:right w:val="double" w:sz="4" w:space="0" w:color="auto"/>
            </w:tcBorders>
            <w:vAlign w:val="center"/>
          </w:tcPr>
          <w:p w:rsidR="00245A1C" w:rsidRPr="00BA6418" w:rsidRDefault="00245A1C" w:rsidP="00BA6418">
            <w:pPr>
              <w:jc w:val="center"/>
              <w:rPr>
                <w:sz w:val="23"/>
                <w:szCs w:val="23"/>
              </w:rPr>
            </w:pPr>
            <w:r w:rsidRPr="00BA6418">
              <w:rPr>
                <w:sz w:val="23"/>
                <w:szCs w:val="23"/>
              </w:rPr>
              <w:t xml:space="preserve">30.000 </w:t>
            </w:r>
            <w:r w:rsidRPr="00BA6418">
              <w:rPr>
                <w:rFonts w:cstheme="minorHAnsi"/>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25.795,6 €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7.120,4 €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22.879,6 €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2.916,0 €</w:t>
            </w:r>
          </w:p>
        </w:tc>
      </w:tr>
      <w:tr w:rsidR="00245A1C" w:rsidTr="009D5BD1">
        <w:tc>
          <w:tcPr>
            <w:tcW w:w="1844" w:type="dxa"/>
            <w:tcBorders>
              <w:left w:val="double" w:sz="4" w:space="0" w:color="auto"/>
              <w:right w:val="double" w:sz="4" w:space="0" w:color="auto"/>
            </w:tcBorders>
            <w:vAlign w:val="center"/>
          </w:tcPr>
          <w:p w:rsidR="00245A1C" w:rsidRPr="00BA6418" w:rsidRDefault="00245A1C" w:rsidP="00BA6418">
            <w:pPr>
              <w:jc w:val="center"/>
              <w:rPr>
                <w:sz w:val="23"/>
                <w:szCs w:val="23"/>
              </w:rPr>
            </w:pPr>
            <w:r w:rsidRPr="00BA6418">
              <w:rPr>
                <w:sz w:val="23"/>
                <w:szCs w:val="23"/>
              </w:rPr>
              <w:t xml:space="preserve">40.000 </w:t>
            </w:r>
            <w:r w:rsidRPr="00BA6418">
              <w:rPr>
                <w:rFonts w:cstheme="minorHAnsi"/>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35.795,6 €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9.815,4 €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30.184,6 €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5.611,0 €</w:t>
            </w:r>
          </w:p>
        </w:tc>
      </w:tr>
      <w:tr w:rsidR="00245A1C" w:rsidTr="009D5BD1">
        <w:tc>
          <w:tcPr>
            <w:tcW w:w="1844" w:type="dxa"/>
            <w:tcBorders>
              <w:left w:val="double" w:sz="4" w:space="0" w:color="auto"/>
              <w:right w:val="double" w:sz="4" w:space="0" w:color="auto"/>
            </w:tcBorders>
            <w:vAlign w:val="center"/>
          </w:tcPr>
          <w:p w:rsidR="00245A1C" w:rsidRPr="00BA6418" w:rsidRDefault="00245A1C" w:rsidP="00BA6418">
            <w:pPr>
              <w:jc w:val="center"/>
              <w:rPr>
                <w:sz w:val="23"/>
                <w:szCs w:val="23"/>
              </w:rPr>
            </w:pPr>
            <w:r>
              <w:rPr>
                <w:sz w:val="23"/>
                <w:szCs w:val="23"/>
              </w:rPr>
              <w:t xml:space="preserve">50.000 </w:t>
            </w:r>
            <w:r w:rsidRPr="00BA6418">
              <w:rPr>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45.795,6 €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12.510,4 €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37.489,6 €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8.306,0 €</w:t>
            </w:r>
          </w:p>
        </w:tc>
      </w:tr>
      <w:tr w:rsidR="00245A1C" w:rsidTr="009D5BD1">
        <w:tc>
          <w:tcPr>
            <w:tcW w:w="1844" w:type="dxa"/>
            <w:tcBorders>
              <w:left w:val="double" w:sz="4" w:space="0" w:color="auto"/>
              <w:right w:val="double" w:sz="4" w:space="0" w:color="auto"/>
            </w:tcBorders>
            <w:vAlign w:val="center"/>
          </w:tcPr>
          <w:p w:rsidR="00245A1C" w:rsidRDefault="00245A1C" w:rsidP="00BA6418">
            <w:pPr>
              <w:jc w:val="center"/>
              <w:rPr>
                <w:sz w:val="23"/>
                <w:szCs w:val="23"/>
              </w:rPr>
            </w:pPr>
            <w:r>
              <w:rPr>
                <w:sz w:val="23"/>
                <w:szCs w:val="23"/>
              </w:rPr>
              <w:t xml:space="preserve">60.000 </w:t>
            </w:r>
            <w:r w:rsidRPr="00BA6418">
              <w:rPr>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55.795,6 €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15.205,4 €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44.794,6 €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11.001,0 €</w:t>
            </w:r>
          </w:p>
        </w:tc>
      </w:tr>
      <w:tr w:rsidR="00245A1C" w:rsidTr="009D5BD1">
        <w:tc>
          <w:tcPr>
            <w:tcW w:w="1844" w:type="dxa"/>
            <w:tcBorders>
              <w:left w:val="double" w:sz="4" w:space="0" w:color="auto"/>
              <w:right w:val="double" w:sz="4" w:space="0" w:color="auto"/>
            </w:tcBorders>
            <w:vAlign w:val="center"/>
          </w:tcPr>
          <w:p w:rsidR="00245A1C" w:rsidRDefault="00245A1C" w:rsidP="00BA6418">
            <w:pPr>
              <w:jc w:val="center"/>
              <w:rPr>
                <w:sz w:val="23"/>
                <w:szCs w:val="23"/>
              </w:rPr>
            </w:pPr>
            <w:r>
              <w:rPr>
                <w:sz w:val="23"/>
                <w:szCs w:val="23"/>
              </w:rPr>
              <w:t xml:space="preserve">75.000 </w:t>
            </w:r>
            <w:r w:rsidRPr="00BA6418">
              <w:rPr>
                <w:sz w:val="23"/>
                <w:szCs w:val="23"/>
              </w:rPr>
              <w:t>€</w:t>
            </w:r>
          </w:p>
        </w:tc>
        <w:tc>
          <w:tcPr>
            <w:tcW w:w="2354"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70.795,6 €</w:t>
            </w:r>
          </w:p>
        </w:tc>
        <w:tc>
          <w:tcPr>
            <w:tcW w:w="1827" w:type="dxa"/>
            <w:tcBorders>
              <w:left w:val="double" w:sz="4" w:space="0" w:color="auto"/>
            </w:tcBorders>
            <w:vAlign w:val="bottom"/>
          </w:tcPr>
          <w:p w:rsidR="00245A1C" w:rsidRPr="007E1B05" w:rsidRDefault="00245A1C" w:rsidP="007E1B05">
            <w:pPr>
              <w:jc w:val="center"/>
              <w:rPr>
                <w:b/>
                <w:sz w:val="23"/>
                <w:szCs w:val="23"/>
              </w:rPr>
            </w:pPr>
            <w:r w:rsidRPr="007E1B05">
              <w:rPr>
                <w:b/>
                <w:sz w:val="23"/>
                <w:szCs w:val="23"/>
              </w:rPr>
              <w:t>19.073,9 €</w:t>
            </w:r>
          </w:p>
        </w:tc>
        <w:tc>
          <w:tcPr>
            <w:tcW w:w="1308" w:type="dxa"/>
            <w:tcBorders>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55.926,1 €</w:t>
            </w:r>
          </w:p>
        </w:tc>
        <w:tc>
          <w:tcPr>
            <w:tcW w:w="1660" w:type="dxa"/>
            <w:tcBorders>
              <w:left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14.869,5 €</w:t>
            </w:r>
          </w:p>
        </w:tc>
      </w:tr>
      <w:tr w:rsidR="00245A1C" w:rsidTr="009D5BD1">
        <w:tc>
          <w:tcPr>
            <w:tcW w:w="1844" w:type="dxa"/>
            <w:tcBorders>
              <w:left w:val="double" w:sz="4" w:space="0" w:color="auto"/>
              <w:bottom w:val="double" w:sz="4" w:space="0" w:color="auto"/>
              <w:right w:val="double" w:sz="4" w:space="0" w:color="auto"/>
            </w:tcBorders>
            <w:vAlign w:val="center"/>
          </w:tcPr>
          <w:p w:rsidR="00245A1C" w:rsidRDefault="00245A1C" w:rsidP="00BA6418">
            <w:pPr>
              <w:jc w:val="center"/>
              <w:rPr>
                <w:sz w:val="23"/>
                <w:szCs w:val="23"/>
              </w:rPr>
            </w:pPr>
            <w:r>
              <w:rPr>
                <w:sz w:val="23"/>
                <w:szCs w:val="23"/>
              </w:rPr>
              <w:t xml:space="preserve">80.000 </w:t>
            </w:r>
            <w:r w:rsidRPr="00BA6418">
              <w:rPr>
                <w:sz w:val="23"/>
                <w:szCs w:val="23"/>
              </w:rPr>
              <w:t>€</w:t>
            </w:r>
          </w:p>
        </w:tc>
        <w:tc>
          <w:tcPr>
            <w:tcW w:w="2354" w:type="dxa"/>
            <w:tcBorders>
              <w:left w:val="double" w:sz="4" w:space="0" w:color="auto"/>
              <w:bottom w:val="double" w:sz="4" w:space="0" w:color="auto"/>
            </w:tcBorders>
            <w:vAlign w:val="bottom"/>
          </w:tcPr>
          <w:p w:rsidR="00245A1C" w:rsidRPr="007E1B05" w:rsidRDefault="00245A1C" w:rsidP="007E1B05">
            <w:pPr>
              <w:jc w:val="center"/>
              <w:rPr>
                <w:b/>
                <w:sz w:val="23"/>
                <w:szCs w:val="23"/>
              </w:rPr>
            </w:pPr>
            <w:r w:rsidRPr="007E1B05">
              <w:rPr>
                <w:b/>
                <w:sz w:val="23"/>
                <w:szCs w:val="23"/>
              </w:rPr>
              <w:t>4.204,4 €</w:t>
            </w:r>
          </w:p>
        </w:tc>
        <w:tc>
          <w:tcPr>
            <w:tcW w:w="1522" w:type="dxa"/>
            <w:tcBorders>
              <w:bottom w:val="double" w:sz="4" w:space="0" w:color="auto"/>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75.795,6 €</w:t>
            </w:r>
          </w:p>
        </w:tc>
        <w:tc>
          <w:tcPr>
            <w:tcW w:w="1827" w:type="dxa"/>
            <w:tcBorders>
              <w:left w:val="double" w:sz="4" w:space="0" w:color="auto"/>
              <w:bottom w:val="double" w:sz="4" w:space="0" w:color="auto"/>
            </w:tcBorders>
            <w:vAlign w:val="bottom"/>
          </w:tcPr>
          <w:p w:rsidR="00245A1C" w:rsidRPr="007E1B05" w:rsidRDefault="00245A1C" w:rsidP="007E1B05">
            <w:pPr>
              <w:jc w:val="center"/>
              <w:rPr>
                <w:b/>
                <w:sz w:val="23"/>
                <w:szCs w:val="23"/>
              </w:rPr>
            </w:pPr>
            <w:r w:rsidRPr="007E1B05">
              <w:rPr>
                <w:b/>
                <w:sz w:val="23"/>
                <w:szCs w:val="23"/>
              </w:rPr>
              <w:t>19.073,9 €</w:t>
            </w:r>
          </w:p>
        </w:tc>
        <w:tc>
          <w:tcPr>
            <w:tcW w:w="1308" w:type="dxa"/>
            <w:tcBorders>
              <w:bottom w:val="double" w:sz="4" w:space="0" w:color="auto"/>
              <w:right w:val="double" w:sz="4" w:space="0" w:color="auto"/>
            </w:tcBorders>
            <w:vAlign w:val="bottom"/>
          </w:tcPr>
          <w:p w:rsidR="00245A1C" w:rsidRDefault="00245A1C" w:rsidP="007E1B05">
            <w:pPr>
              <w:jc w:val="center"/>
              <w:rPr>
                <w:rFonts w:ascii="Calibri" w:hAnsi="Calibri" w:cs="Calibri"/>
                <w:color w:val="000000"/>
              </w:rPr>
            </w:pPr>
            <w:r>
              <w:rPr>
                <w:rFonts w:ascii="Calibri" w:hAnsi="Calibri" w:cs="Calibri"/>
                <w:color w:val="000000"/>
              </w:rPr>
              <w:t>60.926,1 €</w:t>
            </w:r>
          </w:p>
        </w:tc>
        <w:tc>
          <w:tcPr>
            <w:tcW w:w="1660" w:type="dxa"/>
            <w:tcBorders>
              <w:left w:val="double" w:sz="4" w:space="0" w:color="auto"/>
              <w:bottom w:val="double" w:sz="4" w:space="0" w:color="auto"/>
              <w:right w:val="double" w:sz="4" w:space="0" w:color="auto"/>
            </w:tcBorders>
            <w:vAlign w:val="bottom"/>
          </w:tcPr>
          <w:p w:rsidR="00245A1C" w:rsidRPr="00245A1C" w:rsidRDefault="00245A1C" w:rsidP="00245A1C">
            <w:pPr>
              <w:jc w:val="center"/>
              <w:rPr>
                <w:rFonts w:ascii="Calibri" w:hAnsi="Calibri" w:cs="Calibri"/>
                <w:b/>
                <w:color w:val="0070C0"/>
              </w:rPr>
            </w:pPr>
            <w:r w:rsidRPr="00245A1C">
              <w:rPr>
                <w:rFonts w:ascii="Calibri" w:hAnsi="Calibri" w:cs="Calibri"/>
                <w:b/>
                <w:color w:val="0070C0"/>
              </w:rPr>
              <w:t>14.869,5 €</w:t>
            </w:r>
          </w:p>
        </w:tc>
      </w:tr>
    </w:tbl>
    <w:p w:rsidR="005343BF" w:rsidRDefault="005343BF" w:rsidP="00DD616E">
      <w:pPr>
        <w:spacing w:after="120" w:line="240" w:lineRule="auto"/>
        <w:ind w:left="-567" w:hanging="142"/>
        <w:rPr>
          <w:b/>
          <w:i/>
          <w:sz w:val="24"/>
          <w:szCs w:val="24"/>
          <w:u w:val="single"/>
        </w:rPr>
      </w:pPr>
    </w:p>
    <w:p w:rsidR="003357A1" w:rsidRDefault="003357A1" w:rsidP="00DD616E">
      <w:pPr>
        <w:spacing w:after="120" w:line="240" w:lineRule="auto"/>
        <w:ind w:left="-567" w:hanging="142"/>
        <w:rPr>
          <w:b/>
          <w:i/>
          <w:sz w:val="24"/>
          <w:szCs w:val="24"/>
          <w:u w:val="single"/>
        </w:rPr>
      </w:pPr>
      <w:r w:rsidRPr="003357A1">
        <w:rPr>
          <w:b/>
          <w:i/>
          <w:sz w:val="24"/>
          <w:szCs w:val="24"/>
          <w:u w:val="single"/>
        </w:rPr>
        <w:t>Επισημάνσεις:</w:t>
      </w:r>
    </w:p>
    <w:p w:rsidR="00DD616E" w:rsidRPr="003A672D" w:rsidRDefault="00DD616E" w:rsidP="00DD616E">
      <w:pPr>
        <w:pStyle w:val="Web"/>
        <w:numPr>
          <w:ilvl w:val="0"/>
          <w:numId w:val="2"/>
        </w:numPr>
        <w:shd w:val="clear" w:color="auto" w:fill="FFFFFF"/>
        <w:spacing w:after="120" w:afterAutospacing="0"/>
        <w:ind w:left="-425" w:hanging="283"/>
        <w:jc w:val="both"/>
        <w:rPr>
          <w:i/>
          <w:u w:val="single"/>
        </w:rPr>
      </w:pPr>
      <w:r w:rsidRPr="00DD616E">
        <w:rPr>
          <w:rFonts w:asciiTheme="minorHAnsi" w:eastAsiaTheme="minorHAnsi" w:hAnsiTheme="minorHAnsi" w:cstheme="minorBidi"/>
          <w:lang w:eastAsia="en-US"/>
        </w:rPr>
        <w:t>Για  κάθε έτος από εδώ και πέρα οι ασφαλιστικές εισφορές (σύνταξης και υγείας με γενικό κανόνα 26,95% επί των καθαρών κερδών</w:t>
      </w:r>
      <w:r w:rsidR="009B2A87" w:rsidRPr="009B2A87">
        <w:rPr>
          <w:rFonts w:asciiTheme="minorHAnsi" w:eastAsiaTheme="minorHAnsi" w:hAnsiTheme="minorHAnsi" w:cstheme="minorBidi"/>
          <w:lang w:eastAsia="en-US"/>
        </w:rPr>
        <w:t xml:space="preserve"> +10</w:t>
      </w:r>
      <w:r w:rsidR="009B2A87">
        <w:rPr>
          <w:rFonts w:asciiTheme="minorHAnsi" w:eastAsiaTheme="minorHAnsi" w:hAnsiTheme="minorHAnsi" w:cstheme="minorHAnsi"/>
          <w:lang w:eastAsia="en-US"/>
        </w:rPr>
        <w:t>€</w:t>
      </w:r>
      <w:r w:rsidR="009B2A87" w:rsidRPr="009B2A87">
        <w:rPr>
          <w:rFonts w:asciiTheme="minorHAnsi" w:eastAsiaTheme="minorHAnsi" w:hAnsiTheme="minorHAnsi" w:cstheme="minorBidi"/>
          <w:lang w:eastAsia="en-US"/>
        </w:rPr>
        <w:t>/</w:t>
      </w:r>
      <w:r w:rsidR="009B2A87">
        <w:rPr>
          <w:rFonts w:asciiTheme="minorHAnsi" w:eastAsiaTheme="minorHAnsi" w:hAnsiTheme="minorHAnsi" w:cstheme="minorBidi"/>
          <w:lang w:eastAsia="en-US"/>
        </w:rPr>
        <w:t>μήνα υπέρ ΟΑΕΔ</w:t>
      </w:r>
      <w:r w:rsidRPr="00DD616E">
        <w:rPr>
          <w:rFonts w:asciiTheme="minorHAnsi" w:eastAsiaTheme="minorHAnsi" w:hAnsiTheme="minorHAnsi" w:cstheme="minorBidi"/>
          <w:lang w:eastAsia="en-US"/>
        </w:rPr>
        <w:t xml:space="preserve">) θα υπολογίζονται επί του εισοδήματος (καθαρά κέρδη) του </w:t>
      </w:r>
      <w:r w:rsidRPr="005343BF">
        <w:rPr>
          <w:rFonts w:asciiTheme="minorHAnsi" w:eastAsiaTheme="minorHAnsi" w:hAnsiTheme="minorHAnsi" w:cstheme="minorBidi"/>
          <w:b/>
          <w:lang w:eastAsia="en-US"/>
        </w:rPr>
        <w:t>προ προηγούμενου έτους</w:t>
      </w:r>
      <w:r w:rsidRPr="00DD616E">
        <w:rPr>
          <w:rFonts w:asciiTheme="minorHAnsi" w:eastAsiaTheme="minorHAnsi" w:hAnsiTheme="minorHAnsi" w:cstheme="minorBidi"/>
          <w:lang w:eastAsia="en-US"/>
        </w:rPr>
        <w:t xml:space="preserve">, και στη συνέχεια μετά την εκκαθάριση του εισοδήματος του προηγούμενου έτους </w:t>
      </w:r>
      <w:r w:rsidR="005343BF">
        <w:rPr>
          <w:rFonts w:asciiTheme="minorHAnsi" w:eastAsiaTheme="minorHAnsi" w:hAnsiTheme="minorHAnsi" w:cstheme="minorBidi"/>
          <w:lang w:eastAsia="en-US"/>
        </w:rPr>
        <w:t xml:space="preserve">θα </w:t>
      </w:r>
      <w:r w:rsidRPr="00DD616E">
        <w:rPr>
          <w:rFonts w:asciiTheme="minorHAnsi" w:eastAsiaTheme="minorHAnsi" w:hAnsiTheme="minorHAnsi" w:cstheme="minorBidi"/>
          <w:lang w:eastAsia="en-US"/>
        </w:rPr>
        <w:t>γίνεται ο απαραίτητος συμψηφισμός.  Για τον υπολογισμό των εισφορών του 2017 θα ληφθεί υπόψη σαν βάση το εισόδημα του 2015</w:t>
      </w:r>
      <w:r w:rsidR="00101345">
        <w:rPr>
          <w:rFonts w:asciiTheme="minorHAnsi" w:eastAsiaTheme="minorHAnsi" w:hAnsiTheme="minorHAnsi" w:cstheme="minorBidi"/>
          <w:lang w:eastAsia="en-US"/>
        </w:rPr>
        <w:t xml:space="preserve"> (καθαρά κέρδη)</w:t>
      </w:r>
      <w:r w:rsidRPr="00DD616E">
        <w:rPr>
          <w:rFonts w:asciiTheme="minorHAnsi" w:eastAsiaTheme="minorHAnsi" w:hAnsiTheme="minorHAnsi" w:cstheme="minorBidi"/>
          <w:lang w:eastAsia="en-US"/>
        </w:rPr>
        <w:t xml:space="preserve"> και όταν οριστικοποιηθεί το εισόδημα του 2016</w:t>
      </w:r>
      <w:r w:rsidR="00101345">
        <w:rPr>
          <w:rFonts w:asciiTheme="minorHAnsi" w:eastAsiaTheme="minorHAnsi" w:hAnsiTheme="minorHAnsi" w:cstheme="minorBidi"/>
          <w:lang w:eastAsia="en-US"/>
        </w:rPr>
        <w:t xml:space="preserve"> (καθαρά κέρδη)</w:t>
      </w:r>
      <w:r w:rsidRPr="00DD616E">
        <w:rPr>
          <w:rFonts w:asciiTheme="minorHAnsi" w:eastAsiaTheme="minorHAnsi" w:hAnsiTheme="minorHAnsi" w:cstheme="minorBidi"/>
          <w:lang w:eastAsia="en-US"/>
        </w:rPr>
        <w:t xml:space="preserve"> θα γίνεται επανυπολογισμός. Τυχόν διαφορές θα συμψηφιστούν ισομερώς κατανεμημένες σε μηνιαία βάση έως το μήνα Δεκέμβριο κάθε έτους. </w:t>
      </w:r>
      <w:r w:rsidR="00AB4464" w:rsidRPr="003A672D">
        <w:rPr>
          <w:rFonts w:asciiTheme="minorHAnsi" w:eastAsiaTheme="minorHAnsi" w:hAnsiTheme="minorHAnsi" w:cstheme="minorBidi"/>
          <w:i/>
          <w:u w:val="single"/>
          <w:lang w:eastAsia="en-US"/>
        </w:rPr>
        <w:t xml:space="preserve">Τούτων δοθέντων, οι ασφαλιστικές κατηγορίες του ΟΑΕΕ με βάση το νέο Ασφαλιστικό καταργούνται και στην ουσία προωθείται μία μορφή ασφαλιστικής φορολόγησης του Εισοδήματος. Συνεπώς από εδώ και στο εξής οι ασφαλιστικές εισφορές θα προκύπτουν από τα εκκαθαρισμένα εισοδήματα των υπόχρεων </w:t>
      </w:r>
      <w:r w:rsidR="003A672D" w:rsidRPr="003A672D">
        <w:rPr>
          <w:rFonts w:asciiTheme="minorHAnsi" w:eastAsiaTheme="minorHAnsi" w:hAnsiTheme="minorHAnsi" w:cstheme="minorBidi"/>
          <w:i/>
          <w:u w:val="single"/>
          <w:lang w:eastAsia="en-US"/>
        </w:rPr>
        <w:t xml:space="preserve">(διασύνδεση με εισόδημα) </w:t>
      </w:r>
      <w:r w:rsidR="00AB4464" w:rsidRPr="003A672D">
        <w:rPr>
          <w:rFonts w:asciiTheme="minorHAnsi" w:eastAsiaTheme="minorHAnsi" w:hAnsiTheme="minorHAnsi" w:cstheme="minorBidi"/>
          <w:i/>
          <w:u w:val="single"/>
          <w:lang w:eastAsia="en-US"/>
        </w:rPr>
        <w:t>και</w:t>
      </w:r>
      <w:r w:rsidR="003A672D" w:rsidRPr="003A672D">
        <w:rPr>
          <w:rFonts w:asciiTheme="minorHAnsi" w:eastAsiaTheme="minorHAnsi" w:hAnsiTheme="minorHAnsi" w:cstheme="minorBidi"/>
          <w:i/>
          <w:u w:val="single"/>
          <w:lang w:eastAsia="en-US"/>
        </w:rPr>
        <w:t xml:space="preserve"> δεν θα καθορίζονται με βάση τα έτη ασφάλισης.</w:t>
      </w:r>
    </w:p>
    <w:p w:rsidR="003A672D" w:rsidRDefault="003A672D" w:rsidP="003A672D">
      <w:pPr>
        <w:pStyle w:val="Web"/>
        <w:shd w:val="clear" w:color="auto" w:fill="FFFFFF"/>
        <w:spacing w:after="120" w:afterAutospacing="0"/>
        <w:ind w:left="-425"/>
        <w:jc w:val="both"/>
        <w:rPr>
          <w:rFonts w:asciiTheme="minorHAnsi" w:eastAsiaTheme="minorHAnsi" w:hAnsiTheme="minorHAnsi" w:cstheme="minorBidi"/>
          <w:i/>
          <w:u w:val="single"/>
          <w:lang w:eastAsia="en-US"/>
        </w:rPr>
      </w:pPr>
    </w:p>
    <w:p w:rsidR="003A672D" w:rsidRDefault="003A672D" w:rsidP="003A672D">
      <w:pPr>
        <w:pStyle w:val="a6"/>
        <w:rPr>
          <w:rFonts w:cstheme="minorHAnsi"/>
        </w:rPr>
      </w:pPr>
    </w:p>
    <w:p w:rsidR="00DC3B91" w:rsidRDefault="00DC3B91" w:rsidP="00E91260">
      <w:pPr>
        <w:pStyle w:val="Web"/>
        <w:numPr>
          <w:ilvl w:val="0"/>
          <w:numId w:val="2"/>
        </w:numPr>
        <w:spacing w:before="0" w:beforeAutospacing="0" w:after="120" w:afterAutospacing="0" w:line="276" w:lineRule="auto"/>
        <w:ind w:left="-425" w:hanging="284"/>
        <w:jc w:val="both"/>
        <w:rPr>
          <w:rFonts w:asciiTheme="minorHAnsi" w:hAnsiTheme="minorHAnsi" w:cstheme="minorHAnsi"/>
        </w:rPr>
      </w:pPr>
      <w:r>
        <w:rPr>
          <w:rFonts w:asciiTheme="minorHAnsi" w:hAnsiTheme="minorHAnsi" w:cstheme="minorHAnsi"/>
        </w:rPr>
        <w:t>Για καλύτερη κατανόηση των νέων αλλαγών, έχει γίνει</w:t>
      </w:r>
      <w:r w:rsidRPr="00DC3B91">
        <w:rPr>
          <w:rFonts w:asciiTheme="minorHAnsi" w:hAnsiTheme="minorHAnsi" w:cstheme="minorHAnsi"/>
        </w:rPr>
        <w:t xml:space="preserve"> </w:t>
      </w:r>
      <w:r>
        <w:rPr>
          <w:rFonts w:asciiTheme="minorHAnsi" w:hAnsiTheme="minorHAnsi" w:cstheme="minorHAnsi"/>
        </w:rPr>
        <w:t xml:space="preserve">η </w:t>
      </w:r>
      <w:r w:rsidRPr="00DC3B91">
        <w:rPr>
          <w:rFonts w:asciiTheme="minorHAnsi" w:hAnsiTheme="minorHAnsi" w:cstheme="minorHAnsi"/>
        </w:rPr>
        <w:t xml:space="preserve"> παραδοχή</w:t>
      </w:r>
      <w:r>
        <w:rPr>
          <w:rFonts w:asciiTheme="minorHAnsi" w:hAnsiTheme="minorHAnsi" w:cstheme="minorHAnsi"/>
        </w:rPr>
        <w:t>/υπόθεση</w:t>
      </w:r>
      <w:r w:rsidRPr="00DC3B91">
        <w:rPr>
          <w:rFonts w:asciiTheme="minorHAnsi" w:hAnsiTheme="minorHAnsi" w:cstheme="minorHAnsi"/>
        </w:rPr>
        <w:t xml:space="preserve"> καταβολής ασφαλιστικών εισφορών </w:t>
      </w:r>
      <w:r w:rsidRPr="00DC3B91">
        <w:rPr>
          <w:rFonts w:asciiTheme="minorHAnsi" w:hAnsiTheme="minorHAnsi" w:cstheme="minorHAnsi"/>
          <w:b/>
          <w:bCs/>
        </w:rPr>
        <w:t>4.</w:t>
      </w:r>
      <w:r w:rsidR="007E1B05">
        <w:rPr>
          <w:rFonts w:asciiTheme="minorHAnsi" w:hAnsiTheme="minorHAnsi" w:cstheme="minorHAnsi"/>
          <w:b/>
          <w:bCs/>
        </w:rPr>
        <w:t>204</w:t>
      </w:r>
      <w:r w:rsidR="00AC4A2A">
        <w:rPr>
          <w:rFonts w:asciiTheme="minorHAnsi" w:hAnsiTheme="minorHAnsi" w:cstheme="minorHAnsi"/>
          <w:b/>
          <w:bCs/>
        </w:rPr>
        <w:t>,4</w:t>
      </w:r>
      <w:r w:rsidRPr="00DC3B91">
        <w:rPr>
          <w:rFonts w:asciiTheme="minorHAnsi" w:hAnsiTheme="minorHAnsi" w:cstheme="minorHAnsi"/>
          <w:b/>
          <w:bCs/>
        </w:rPr>
        <w:t xml:space="preserve"> </w:t>
      </w:r>
      <w:r>
        <w:rPr>
          <w:rFonts w:asciiTheme="minorHAnsi" w:hAnsiTheme="minorHAnsi" w:cstheme="minorHAnsi"/>
          <w:b/>
          <w:bCs/>
        </w:rPr>
        <w:t xml:space="preserve">€ </w:t>
      </w:r>
      <w:r w:rsidRPr="00DC3B91">
        <w:rPr>
          <w:rFonts w:asciiTheme="minorHAnsi" w:hAnsiTheme="minorHAnsi" w:cstheme="minorHAnsi"/>
          <w:b/>
          <w:bCs/>
        </w:rPr>
        <w:t>ετησίως</w:t>
      </w:r>
      <w:r>
        <w:rPr>
          <w:rFonts w:asciiTheme="minorHAnsi" w:hAnsiTheme="minorHAnsi" w:cstheme="minorHAnsi"/>
        </w:rPr>
        <w:t xml:space="preserve">, αναφορικά με το Φορολογικό έτος 2016 </w:t>
      </w:r>
      <w:r w:rsidRPr="00DC3B91">
        <w:rPr>
          <w:rFonts w:asciiTheme="minorHAnsi" w:hAnsiTheme="minorHAnsi" w:cstheme="minorHAnsi"/>
        </w:rPr>
        <w:t>(4</w:t>
      </w:r>
      <w:r w:rsidRPr="00DC3B91">
        <w:rPr>
          <w:rFonts w:asciiTheme="minorHAnsi" w:hAnsiTheme="minorHAnsi" w:cstheme="minorHAnsi"/>
          <w:vertAlign w:val="superscript"/>
        </w:rPr>
        <w:t>η</w:t>
      </w:r>
      <w:r w:rsidRPr="00DC3B91">
        <w:rPr>
          <w:rFonts w:asciiTheme="minorHAnsi" w:hAnsiTheme="minorHAnsi" w:cstheme="minorHAnsi"/>
        </w:rPr>
        <w:t xml:space="preserve"> Ασφαλιστική κλάση νέων ασφαλισμένων</w:t>
      </w:r>
      <w:r>
        <w:rPr>
          <w:rFonts w:asciiTheme="minorHAnsi" w:hAnsiTheme="minorHAnsi" w:cstheme="minorHAnsi"/>
        </w:rPr>
        <w:t xml:space="preserve"> σε ΟΑΕΕ</w:t>
      </w:r>
      <w:r w:rsidR="00AB4464">
        <w:rPr>
          <w:rFonts w:asciiTheme="minorHAnsi" w:hAnsiTheme="minorHAnsi" w:cstheme="minorHAnsi"/>
        </w:rPr>
        <w:t xml:space="preserve">: </w:t>
      </w:r>
      <w:r w:rsidR="007E1B05">
        <w:rPr>
          <w:rFonts w:asciiTheme="minorHAnsi" w:hAnsiTheme="minorHAnsi" w:cstheme="minorHAnsi"/>
        </w:rPr>
        <w:t>(</w:t>
      </w:r>
      <w:r w:rsidR="00245A1C">
        <w:rPr>
          <w:rFonts w:asciiTheme="minorHAnsi" w:hAnsiTheme="minorHAnsi" w:cstheme="minorHAnsi"/>
        </w:rPr>
        <w:t>670</w:t>
      </w:r>
      <w:r w:rsidR="007E1B05">
        <w:rPr>
          <w:rFonts w:asciiTheme="minorHAnsi" w:hAnsiTheme="minorHAnsi" w:cstheme="minorHAnsi"/>
        </w:rPr>
        <w:t>,</w:t>
      </w:r>
      <w:r w:rsidR="00245A1C">
        <w:rPr>
          <w:rFonts w:asciiTheme="minorHAnsi" w:hAnsiTheme="minorHAnsi" w:cstheme="minorHAnsi"/>
        </w:rPr>
        <w:t>74</w:t>
      </w:r>
      <w:r w:rsidR="00AB4464">
        <w:rPr>
          <w:rFonts w:asciiTheme="minorHAnsi" w:hAnsiTheme="minorHAnsi" w:cstheme="minorHAnsi"/>
        </w:rPr>
        <w:t xml:space="preserve">€ * </w:t>
      </w:r>
      <w:r w:rsidR="00245A1C">
        <w:rPr>
          <w:rFonts w:asciiTheme="minorHAnsi" w:hAnsiTheme="minorHAnsi" w:cstheme="minorHAnsi"/>
        </w:rPr>
        <w:t>6</w:t>
      </w:r>
      <w:r w:rsidRPr="00DC3B91">
        <w:rPr>
          <w:rFonts w:asciiTheme="minorHAnsi" w:hAnsiTheme="minorHAnsi" w:cstheme="minorHAnsi"/>
        </w:rPr>
        <w:t>)</w:t>
      </w:r>
      <w:r w:rsidR="007E1B05">
        <w:rPr>
          <w:rFonts w:asciiTheme="minorHAnsi" w:hAnsiTheme="minorHAnsi" w:cstheme="minorHAnsi"/>
        </w:rPr>
        <w:t xml:space="preserve"> + (</w:t>
      </w:r>
      <w:r w:rsidR="00245A1C">
        <w:rPr>
          <w:rFonts w:asciiTheme="minorHAnsi" w:hAnsiTheme="minorHAnsi" w:cstheme="minorHAnsi"/>
        </w:rPr>
        <w:t>30</w:t>
      </w:r>
      <w:r w:rsidR="007E1B05">
        <w:rPr>
          <w:rFonts w:asciiTheme="minorHAnsi" w:hAnsiTheme="minorHAnsi" w:cstheme="minorHAnsi"/>
        </w:rPr>
        <w:t>€</w:t>
      </w:r>
      <w:r w:rsidR="00245A1C">
        <w:rPr>
          <w:rFonts w:asciiTheme="minorHAnsi" w:hAnsiTheme="minorHAnsi" w:cstheme="minorHAnsi"/>
        </w:rPr>
        <w:t xml:space="preserve"> </w:t>
      </w:r>
      <w:r w:rsidR="007E1B05">
        <w:rPr>
          <w:rFonts w:asciiTheme="minorHAnsi" w:hAnsiTheme="minorHAnsi" w:cstheme="minorHAnsi"/>
        </w:rPr>
        <w:t>*</w:t>
      </w:r>
      <w:r w:rsidR="00245A1C">
        <w:rPr>
          <w:rFonts w:asciiTheme="minorHAnsi" w:hAnsiTheme="minorHAnsi" w:cstheme="minorHAnsi"/>
        </w:rPr>
        <w:t xml:space="preserve"> 6</w:t>
      </w:r>
      <w:r w:rsidR="00E91260">
        <w:rPr>
          <w:rFonts w:asciiTheme="minorHAnsi" w:hAnsiTheme="minorHAnsi" w:cstheme="minorHAnsi"/>
        </w:rPr>
        <w:t xml:space="preserve"> υπέρ </w:t>
      </w:r>
      <w:r w:rsidR="00245A1C">
        <w:rPr>
          <w:rFonts w:asciiTheme="minorHAnsi" w:hAnsiTheme="minorHAnsi" w:cstheme="minorHAnsi"/>
        </w:rPr>
        <w:t>ΟΑΕΔ-ΟΕΕ</w:t>
      </w:r>
      <w:r w:rsidR="007E1B05">
        <w:rPr>
          <w:rFonts w:asciiTheme="minorHAnsi" w:hAnsiTheme="minorHAnsi" w:cstheme="minorHAnsi"/>
        </w:rPr>
        <w:t>)</w:t>
      </w:r>
      <w:r w:rsidRPr="00DC3B91">
        <w:rPr>
          <w:rFonts w:asciiTheme="minorHAnsi" w:hAnsiTheme="minorHAnsi" w:cstheme="minorHAnsi"/>
        </w:rPr>
        <w:t>.</w:t>
      </w:r>
    </w:p>
    <w:p w:rsidR="00E91260" w:rsidRDefault="001D754D" w:rsidP="00E91260">
      <w:pPr>
        <w:pStyle w:val="Web"/>
        <w:numPr>
          <w:ilvl w:val="0"/>
          <w:numId w:val="2"/>
        </w:numPr>
        <w:spacing w:before="0" w:beforeAutospacing="0" w:after="120" w:afterAutospacing="0" w:line="276" w:lineRule="auto"/>
        <w:ind w:left="-425" w:hanging="284"/>
        <w:jc w:val="both"/>
        <w:rPr>
          <w:rFonts w:asciiTheme="minorHAnsi" w:hAnsiTheme="minorHAnsi" w:cstheme="minorHAnsi"/>
        </w:rPr>
      </w:pPr>
      <w:r>
        <w:rPr>
          <w:rFonts w:asciiTheme="minorHAnsi" w:hAnsiTheme="minorHAnsi" w:cstheme="minorHAnsi"/>
        </w:rPr>
        <w:t>Οι υπολογισμοί του παραπάνω πίνακα αφορούν ελεύθερους επαγγελματίες και ατομικές επιχειρήσεις (ασκούντα επιχειρηματική δραστηριότητα φυσικά πρόσωπα).</w:t>
      </w:r>
    </w:p>
    <w:p w:rsidR="00E91260" w:rsidRPr="00E91260" w:rsidRDefault="00E91260" w:rsidP="00E91260">
      <w:pPr>
        <w:pStyle w:val="Web"/>
        <w:numPr>
          <w:ilvl w:val="0"/>
          <w:numId w:val="2"/>
        </w:numPr>
        <w:spacing w:before="0" w:beforeAutospacing="0" w:after="120" w:afterAutospacing="0" w:line="276" w:lineRule="auto"/>
        <w:ind w:left="-425" w:hanging="284"/>
        <w:jc w:val="both"/>
        <w:rPr>
          <w:rFonts w:asciiTheme="minorHAnsi" w:hAnsiTheme="minorHAnsi" w:cstheme="minorHAnsi"/>
        </w:rPr>
      </w:pPr>
      <w:r w:rsidRPr="00E91260">
        <w:rPr>
          <w:rFonts w:asciiTheme="minorHAnsi" w:hAnsiTheme="minorHAnsi" w:cstheme="minorHAnsi"/>
        </w:rPr>
        <w:t xml:space="preserve">Ως </w:t>
      </w:r>
      <w:r w:rsidRPr="00E91260">
        <w:rPr>
          <w:rFonts w:asciiTheme="minorHAnsi" w:hAnsiTheme="minorHAnsi" w:cstheme="minorHAnsi"/>
          <w:b/>
        </w:rPr>
        <w:t>κατώτατη μηνιαία βάση</w:t>
      </w:r>
      <w:r w:rsidRPr="00E91260">
        <w:rPr>
          <w:rFonts w:asciiTheme="minorHAnsi" w:hAnsiTheme="minorHAnsi" w:cstheme="minorHAnsi"/>
        </w:rPr>
        <w:t xml:space="preserve"> καθορίζεται το ποσό που αντιστοιχεί στον κατώτατο βασικό μισθό άγαμου μισθωτού άνω των 25 ετών το οποίο ανέρχεται σήμερα σε 586,08 € (Ετήσιο 586,08*12 = 7.032,96 €).  Η εισφορά για τον </w:t>
      </w:r>
      <w:r w:rsidRPr="00E91260">
        <w:rPr>
          <w:rFonts w:asciiTheme="minorHAnsi" w:hAnsiTheme="minorHAnsi" w:cstheme="minorHAnsi"/>
          <w:b/>
        </w:rPr>
        <w:t>κλάδο σύνταξης</w:t>
      </w:r>
      <w:r w:rsidRPr="00E91260">
        <w:rPr>
          <w:rFonts w:asciiTheme="minorHAnsi" w:hAnsiTheme="minorHAnsi" w:cstheme="minorHAnsi"/>
        </w:rPr>
        <w:t xml:space="preserve"> ανέρχεται στο </w:t>
      </w:r>
      <w:r w:rsidRPr="00E91260">
        <w:rPr>
          <w:rFonts w:asciiTheme="minorHAnsi" w:hAnsiTheme="minorHAnsi" w:cstheme="minorHAnsi"/>
          <w:b/>
        </w:rPr>
        <w:t>20%</w:t>
      </w:r>
      <w:r w:rsidRPr="00E91260">
        <w:rPr>
          <w:rFonts w:asciiTheme="minorHAnsi" w:hAnsiTheme="minorHAnsi" w:cstheme="minorHAnsi"/>
        </w:rPr>
        <w:t xml:space="preserve"> και  στο </w:t>
      </w:r>
      <w:r w:rsidRPr="00E91260">
        <w:rPr>
          <w:rFonts w:asciiTheme="minorHAnsi" w:hAnsiTheme="minorHAnsi" w:cstheme="minorHAnsi"/>
          <w:b/>
        </w:rPr>
        <w:t>6,95% για υγειονομική περίθαλψη</w:t>
      </w:r>
      <w:r w:rsidRPr="00E91260">
        <w:rPr>
          <w:rFonts w:asciiTheme="minorHAnsi" w:hAnsiTheme="minorHAnsi" w:cstheme="minorHAnsi"/>
        </w:rPr>
        <w:t xml:space="preserve">, ενώ ταυτόχρονα θα αποδίδεται και </w:t>
      </w:r>
      <w:r w:rsidRPr="00E91260">
        <w:rPr>
          <w:rFonts w:asciiTheme="minorHAnsi" w:hAnsiTheme="minorHAnsi" w:cstheme="minorHAnsi"/>
          <w:b/>
        </w:rPr>
        <w:t>εισφορά υπέρ ΟΑΕΔ</w:t>
      </w:r>
      <w:r w:rsidRPr="00E91260">
        <w:rPr>
          <w:rFonts w:asciiTheme="minorHAnsi" w:hAnsiTheme="minorHAnsi" w:cstheme="minorHAnsi"/>
        </w:rPr>
        <w:t xml:space="preserve">, η οποία στην περίπτωση των ασφαλισμένων του πρώην ΟΑΕΕ είναι </w:t>
      </w:r>
      <w:r w:rsidRPr="00E91260">
        <w:rPr>
          <w:rFonts w:asciiTheme="minorHAnsi" w:hAnsiTheme="minorHAnsi" w:cstheme="minorHAnsi"/>
          <w:b/>
        </w:rPr>
        <w:t>10 €/μήνα.</w:t>
      </w:r>
      <w:r w:rsidRPr="00E91260">
        <w:rPr>
          <w:rFonts w:asciiTheme="minorHAnsi" w:hAnsiTheme="minorHAnsi" w:cstheme="minorHAnsi"/>
        </w:rPr>
        <w:t xml:space="preserve"> Συνεπώς η  κατώτατη εισφορά για όλους τους ελεύθερους επαγγελματίες υπολογίζεται στα </w:t>
      </w:r>
      <w:r w:rsidRPr="00E91260">
        <w:rPr>
          <w:rFonts w:asciiTheme="minorHAnsi" w:hAnsiTheme="minorHAnsi" w:cstheme="minorHAnsi"/>
          <w:b/>
        </w:rPr>
        <w:t xml:space="preserve">167,95 </w:t>
      </w:r>
      <w:r w:rsidRPr="00E91260">
        <w:rPr>
          <w:rFonts w:asciiTheme="minorHAnsi" w:hAnsiTheme="minorHAnsi" w:cstheme="minorHAnsi"/>
        </w:rPr>
        <w:t>€ (117,22 € για σύνταξη, 40,73 € για υγεία και 10 € υπέρ ΟΑΕΔ).</w:t>
      </w:r>
      <w:r w:rsidR="00245A1C">
        <w:rPr>
          <w:rFonts w:asciiTheme="minorHAnsi" w:hAnsiTheme="minorHAnsi" w:cstheme="minorHAnsi"/>
        </w:rPr>
        <w:t xml:space="preserve"> </w:t>
      </w:r>
      <w:r w:rsidR="00245A1C" w:rsidRPr="00245A1C">
        <w:rPr>
          <w:rFonts w:asciiTheme="minorHAnsi" w:hAnsiTheme="minorHAnsi" w:cstheme="minorHAnsi"/>
        </w:rPr>
        <w:t xml:space="preserve">Την ανωτέρω εισφορά θα καταβάλλει </w:t>
      </w:r>
      <w:r w:rsidR="00245A1C" w:rsidRPr="00245A1C">
        <w:rPr>
          <w:rFonts w:asciiTheme="minorHAnsi" w:hAnsiTheme="minorHAnsi" w:cstheme="minorHAnsi"/>
          <w:bCs/>
        </w:rPr>
        <w:t>μέχρι το ετήσιο εισόδημά του από την επαγγελματική του δραστηριότητα να ξεπεράσει το ποσό των</w:t>
      </w:r>
      <w:r w:rsidR="00245A1C" w:rsidRPr="00245A1C">
        <w:rPr>
          <w:rFonts w:asciiTheme="minorHAnsi" w:hAnsiTheme="minorHAnsi" w:cstheme="minorHAnsi"/>
          <w:b/>
          <w:bCs/>
        </w:rPr>
        <w:t xml:space="preserve"> 7.032,96 ευρώ</w:t>
      </w:r>
      <w:r w:rsidR="00245A1C" w:rsidRPr="00245A1C">
        <w:rPr>
          <w:rFonts w:asciiTheme="minorHAnsi" w:hAnsiTheme="minorHAnsi" w:cstheme="minorHAnsi"/>
        </w:rPr>
        <w:t>.</w:t>
      </w:r>
    </w:p>
    <w:p w:rsidR="00E91260" w:rsidRPr="00E91260" w:rsidRDefault="00E91260" w:rsidP="00E91260">
      <w:pPr>
        <w:pStyle w:val="Web"/>
        <w:numPr>
          <w:ilvl w:val="0"/>
          <w:numId w:val="2"/>
        </w:numPr>
        <w:spacing w:before="0" w:beforeAutospacing="0" w:after="120" w:afterAutospacing="0" w:line="276" w:lineRule="auto"/>
        <w:ind w:left="-425" w:hanging="284"/>
        <w:jc w:val="both"/>
        <w:rPr>
          <w:rFonts w:asciiTheme="minorHAnsi" w:hAnsiTheme="minorHAnsi" w:cstheme="minorHAnsi"/>
        </w:rPr>
      </w:pPr>
      <w:r w:rsidRPr="00E91260">
        <w:rPr>
          <w:rFonts w:asciiTheme="minorHAnsi" w:hAnsiTheme="minorHAnsi" w:cstheme="minorHAnsi"/>
        </w:rPr>
        <w:t xml:space="preserve">Ως </w:t>
      </w:r>
      <w:r w:rsidRPr="00E91260">
        <w:rPr>
          <w:rFonts w:asciiTheme="minorHAnsi" w:hAnsiTheme="minorHAnsi" w:cstheme="minorHAnsi"/>
          <w:b/>
        </w:rPr>
        <w:t xml:space="preserve">ανώτατη μηνιαία βάση </w:t>
      </w:r>
      <w:r w:rsidRPr="00E91260">
        <w:rPr>
          <w:rFonts w:asciiTheme="minorHAnsi" w:hAnsiTheme="minorHAnsi" w:cstheme="minorHAnsi"/>
        </w:rPr>
        <w:t>καθορίζεται το ποσό που αντιστοιχεί στο δεκαπλάσιο του κατώτατου βασικού μισθού άνω των 25 ετών όπως ισχύει κάθε φορά. Το ποσό αυτό σήμερα ανέρχεται σε 5.860,8 € (Ετήσιο 5.860,8 * 12=</w:t>
      </w:r>
      <w:r w:rsidR="002B175E">
        <w:rPr>
          <w:rFonts w:asciiTheme="minorHAnsi" w:hAnsiTheme="minorHAnsi" w:cstheme="minorHAnsi"/>
        </w:rPr>
        <w:t xml:space="preserve"> </w:t>
      </w:r>
      <w:r w:rsidRPr="00E91260">
        <w:rPr>
          <w:rFonts w:asciiTheme="minorHAnsi" w:hAnsiTheme="minorHAnsi" w:cstheme="minorHAnsi"/>
        </w:rPr>
        <w:t xml:space="preserve">70.329,6 €). Ως εκ τούτου η ανώτατη εισφορά εκτιμάται  στα </w:t>
      </w:r>
      <w:r w:rsidRPr="00E91260">
        <w:rPr>
          <w:rFonts w:asciiTheme="minorHAnsi" w:hAnsiTheme="minorHAnsi" w:cstheme="minorHAnsi"/>
          <w:b/>
        </w:rPr>
        <w:t xml:space="preserve">1.589,49 € </w:t>
      </w:r>
      <w:r w:rsidRPr="00E91260">
        <w:rPr>
          <w:rFonts w:asciiTheme="minorHAnsi" w:hAnsiTheme="minorHAnsi" w:cstheme="minorHAnsi"/>
        </w:rPr>
        <w:t xml:space="preserve">(1.172,16 € για σύνταξη, 407,33 € για υγεία και 10 € υπέρ ΟΑΕΔ). </w:t>
      </w:r>
    </w:p>
    <w:p w:rsidR="00E91260" w:rsidRPr="00E91260" w:rsidRDefault="00E91260" w:rsidP="00E91260">
      <w:pPr>
        <w:pStyle w:val="Web"/>
        <w:spacing w:before="0" w:beforeAutospacing="0" w:after="120" w:afterAutospacing="0" w:line="276" w:lineRule="auto"/>
        <w:ind w:left="-425"/>
        <w:rPr>
          <w:rFonts w:asciiTheme="minorHAnsi" w:hAnsiTheme="minorHAnsi" w:cstheme="minorHAnsi"/>
        </w:rPr>
      </w:pPr>
    </w:p>
    <w:sectPr w:rsidR="00E91260" w:rsidRPr="00E91260" w:rsidSect="009F3BA5">
      <w:footerReference w:type="default" r:id="rId9"/>
      <w:pgSz w:w="11906" w:h="16838"/>
      <w:pgMar w:top="567" w:right="155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FE" w:rsidRDefault="00EA08FE" w:rsidP="00A362F2">
      <w:pPr>
        <w:spacing w:after="0" w:line="240" w:lineRule="auto"/>
      </w:pPr>
      <w:r>
        <w:separator/>
      </w:r>
    </w:p>
  </w:endnote>
  <w:endnote w:type="continuationSeparator" w:id="0">
    <w:p w:rsidR="00EA08FE" w:rsidRDefault="00EA08FE" w:rsidP="00A3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260"/>
      <w:docPartObj>
        <w:docPartGallery w:val="Page Numbers (Bottom of Page)"/>
        <w:docPartUnique/>
      </w:docPartObj>
    </w:sdtPr>
    <w:sdtEndPr/>
    <w:sdtContent>
      <w:p w:rsidR="00A362F2" w:rsidRDefault="00EA08FE">
        <w:pPr>
          <w:pStyle w:val="a5"/>
          <w:jc w:val="right"/>
        </w:pPr>
        <w:r>
          <w:fldChar w:fldCharType="begin"/>
        </w:r>
        <w:r>
          <w:instrText xml:space="preserve"> PAGE   \* MERGEFORMAT </w:instrText>
        </w:r>
        <w:r>
          <w:fldChar w:fldCharType="separate"/>
        </w:r>
        <w:r w:rsidR="00744512">
          <w:rPr>
            <w:noProof/>
          </w:rPr>
          <w:t>2</w:t>
        </w:r>
        <w:r>
          <w:rPr>
            <w:noProof/>
          </w:rPr>
          <w:fldChar w:fldCharType="end"/>
        </w:r>
      </w:p>
    </w:sdtContent>
  </w:sdt>
  <w:p w:rsidR="00A362F2" w:rsidRDefault="00A362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FE" w:rsidRDefault="00EA08FE" w:rsidP="00A362F2">
      <w:pPr>
        <w:spacing w:after="0" w:line="240" w:lineRule="auto"/>
      </w:pPr>
      <w:r>
        <w:separator/>
      </w:r>
    </w:p>
  </w:footnote>
  <w:footnote w:type="continuationSeparator" w:id="0">
    <w:p w:rsidR="00EA08FE" w:rsidRDefault="00EA08FE" w:rsidP="00A36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5E1"/>
    <w:multiLevelType w:val="hybridMultilevel"/>
    <w:tmpl w:val="91F4C792"/>
    <w:lvl w:ilvl="0" w:tplc="D3F6FA44">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
    <w:nsid w:val="36DF4E8C"/>
    <w:multiLevelType w:val="hybridMultilevel"/>
    <w:tmpl w:val="44F60942"/>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18"/>
    <w:rsid w:val="00040955"/>
    <w:rsid w:val="000A39CF"/>
    <w:rsid w:val="000B60C5"/>
    <w:rsid w:val="00101345"/>
    <w:rsid w:val="001655D1"/>
    <w:rsid w:val="001D754D"/>
    <w:rsid w:val="00245A1C"/>
    <w:rsid w:val="002B175E"/>
    <w:rsid w:val="003357A1"/>
    <w:rsid w:val="00391186"/>
    <w:rsid w:val="00396F4B"/>
    <w:rsid w:val="003A08C9"/>
    <w:rsid w:val="003A672D"/>
    <w:rsid w:val="00442450"/>
    <w:rsid w:val="004934B9"/>
    <w:rsid w:val="0052267A"/>
    <w:rsid w:val="005343BF"/>
    <w:rsid w:val="0065025C"/>
    <w:rsid w:val="00690651"/>
    <w:rsid w:val="00744512"/>
    <w:rsid w:val="007E1B05"/>
    <w:rsid w:val="00864936"/>
    <w:rsid w:val="009B2A87"/>
    <w:rsid w:val="009F3BA5"/>
    <w:rsid w:val="00A30AED"/>
    <w:rsid w:val="00A362F2"/>
    <w:rsid w:val="00AB4464"/>
    <w:rsid w:val="00AC4A2A"/>
    <w:rsid w:val="00AD6122"/>
    <w:rsid w:val="00AE7BBE"/>
    <w:rsid w:val="00BA350B"/>
    <w:rsid w:val="00BA6418"/>
    <w:rsid w:val="00C16623"/>
    <w:rsid w:val="00D2521F"/>
    <w:rsid w:val="00D62457"/>
    <w:rsid w:val="00DA4801"/>
    <w:rsid w:val="00DC3B91"/>
    <w:rsid w:val="00DD616E"/>
    <w:rsid w:val="00E436BA"/>
    <w:rsid w:val="00E91260"/>
    <w:rsid w:val="00E9617F"/>
    <w:rsid w:val="00EA08FE"/>
    <w:rsid w:val="00EE674F"/>
    <w:rsid w:val="00F55718"/>
    <w:rsid w:val="00F56DC1"/>
    <w:rsid w:val="00F575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A362F2"/>
    <w:pPr>
      <w:tabs>
        <w:tab w:val="center" w:pos="4153"/>
        <w:tab w:val="right" w:pos="8306"/>
      </w:tabs>
      <w:spacing w:after="0" w:line="240" w:lineRule="auto"/>
    </w:pPr>
  </w:style>
  <w:style w:type="character" w:customStyle="1" w:styleId="Char">
    <w:name w:val="Κεφαλίδα Char"/>
    <w:basedOn w:val="a0"/>
    <w:link w:val="a4"/>
    <w:uiPriority w:val="99"/>
    <w:semiHidden/>
    <w:rsid w:val="00A362F2"/>
  </w:style>
  <w:style w:type="paragraph" w:styleId="a5">
    <w:name w:val="footer"/>
    <w:basedOn w:val="a"/>
    <w:link w:val="Char0"/>
    <w:uiPriority w:val="99"/>
    <w:unhideWhenUsed/>
    <w:rsid w:val="00A362F2"/>
    <w:pPr>
      <w:tabs>
        <w:tab w:val="center" w:pos="4153"/>
        <w:tab w:val="right" w:pos="8306"/>
      </w:tabs>
      <w:spacing w:after="0" w:line="240" w:lineRule="auto"/>
    </w:pPr>
  </w:style>
  <w:style w:type="character" w:customStyle="1" w:styleId="Char0">
    <w:name w:val="Υποσέλιδο Char"/>
    <w:basedOn w:val="a0"/>
    <w:link w:val="a5"/>
    <w:uiPriority w:val="99"/>
    <w:rsid w:val="00A362F2"/>
  </w:style>
  <w:style w:type="paragraph" w:styleId="a6">
    <w:name w:val="List Paragraph"/>
    <w:basedOn w:val="a"/>
    <w:uiPriority w:val="34"/>
    <w:qFormat/>
    <w:rsid w:val="00DC3B91"/>
    <w:pPr>
      <w:ind w:left="720"/>
      <w:contextualSpacing/>
    </w:pPr>
  </w:style>
  <w:style w:type="paragraph" w:styleId="Web">
    <w:name w:val="Normal (Web)"/>
    <w:basedOn w:val="a"/>
    <w:uiPriority w:val="99"/>
    <w:unhideWhenUsed/>
    <w:rsid w:val="00DC3B91"/>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Char1"/>
    <w:uiPriority w:val="99"/>
    <w:semiHidden/>
    <w:unhideWhenUsed/>
    <w:rsid w:val="009F3BA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3BA5"/>
    <w:rPr>
      <w:rFonts w:ascii="Tahoma" w:hAnsi="Tahoma" w:cs="Tahoma"/>
      <w:sz w:val="16"/>
      <w:szCs w:val="16"/>
    </w:rPr>
  </w:style>
  <w:style w:type="paragraph" w:customStyle="1" w:styleId="Default">
    <w:name w:val="Default"/>
    <w:rsid w:val="009F3BA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A362F2"/>
    <w:pPr>
      <w:tabs>
        <w:tab w:val="center" w:pos="4153"/>
        <w:tab w:val="right" w:pos="8306"/>
      </w:tabs>
      <w:spacing w:after="0" w:line="240" w:lineRule="auto"/>
    </w:pPr>
  </w:style>
  <w:style w:type="character" w:customStyle="1" w:styleId="Char">
    <w:name w:val="Κεφαλίδα Char"/>
    <w:basedOn w:val="a0"/>
    <w:link w:val="a4"/>
    <w:uiPriority w:val="99"/>
    <w:semiHidden/>
    <w:rsid w:val="00A362F2"/>
  </w:style>
  <w:style w:type="paragraph" w:styleId="a5">
    <w:name w:val="footer"/>
    <w:basedOn w:val="a"/>
    <w:link w:val="Char0"/>
    <w:uiPriority w:val="99"/>
    <w:unhideWhenUsed/>
    <w:rsid w:val="00A362F2"/>
    <w:pPr>
      <w:tabs>
        <w:tab w:val="center" w:pos="4153"/>
        <w:tab w:val="right" w:pos="8306"/>
      </w:tabs>
      <w:spacing w:after="0" w:line="240" w:lineRule="auto"/>
    </w:pPr>
  </w:style>
  <w:style w:type="character" w:customStyle="1" w:styleId="Char0">
    <w:name w:val="Υποσέλιδο Char"/>
    <w:basedOn w:val="a0"/>
    <w:link w:val="a5"/>
    <w:uiPriority w:val="99"/>
    <w:rsid w:val="00A362F2"/>
  </w:style>
  <w:style w:type="paragraph" w:styleId="a6">
    <w:name w:val="List Paragraph"/>
    <w:basedOn w:val="a"/>
    <w:uiPriority w:val="34"/>
    <w:qFormat/>
    <w:rsid w:val="00DC3B91"/>
    <w:pPr>
      <w:ind w:left="720"/>
      <w:contextualSpacing/>
    </w:pPr>
  </w:style>
  <w:style w:type="paragraph" w:styleId="Web">
    <w:name w:val="Normal (Web)"/>
    <w:basedOn w:val="a"/>
    <w:uiPriority w:val="99"/>
    <w:unhideWhenUsed/>
    <w:rsid w:val="00DC3B91"/>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Char1"/>
    <w:uiPriority w:val="99"/>
    <w:semiHidden/>
    <w:unhideWhenUsed/>
    <w:rsid w:val="009F3BA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3BA5"/>
    <w:rPr>
      <w:rFonts w:ascii="Tahoma" w:hAnsi="Tahoma" w:cs="Tahoma"/>
      <w:sz w:val="16"/>
      <w:szCs w:val="16"/>
    </w:rPr>
  </w:style>
  <w:style w:type="paragraph" w:customStyle="1" w:styleId="Default">
    <w:name w:val="Default"/>
    <w:rsid w:val="009F3BA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6273">
      <w:bodyDiv w:val="1"/>
      <w:marLeft w:val="0"/>
      <w:marRight w:val="0"/>
      <w:marTop w:val="0"/>
      <w:marBottom w:val="0"/>
      <w:divBdr>
        <w:top w:val="none" w:sz="0" w:space="0" w:color="auto"/>
        <w:left w:val="none" w:sz="0" w:space="0" w:color="auto"/>
        <w:bottom w:val="none" w:sz="0" w:space="0" w:color="auto"/>
        <w:right w:val="none" w:sz="0" w:space="0" w:color="auto"/>
      </w:divBdr>
      <w:divsChild>
        <w:div w:id="706175368">
          <w:marLeft w:val="0"/>
          <w:marRight w:val="0"/>
          <w:marTop w:val="0"/>
          <w:marBottom w:val="0"/>
          <w:divBdr>
            <w:top w:val="none" w:sz="0" w:space="0" w:color="auto"/>
            <w:left w:val="none" w:sz="0" w:space="0" w:color="auto"/>
            <w:bottom w:val="none" w:sz="0" w:space="0" w:color="auto"/>
            <w:right w:val="none" w:sz="0" w:space="0" w:color="auto"/>
          </w:divBdr>
          <w:divsChild>
            <w:div w:id="708647205">
              <w:marLeft w:val="0"/>
              <w:marRight w:val="0"/>
              <w:marTop w:val="0"/>
              <w:marBottom w:val="0"/>
              <w:divBdr>
                <w:top w:val="none" w:sz="0" w:space="0" w:color="auto"/>
                <w:left w:val="none" w:sz="0" w:space="0" w:color="auto"/>
                <w:bottom w:val="none" w:sz="0" w:space="0" w:color="auto"/>
                <w:right w:val="none" w:sz="0" w:space="0" w:color="auto"/>
              </w:divBdr>
              <w:divsChild>
                <w:div w:id="388577018">
                  <w:marLeft w:val="0"/>
                  <w:marRight w:val="0"/>
                  <w:marTop w:val="0"/>
                  <w:marBottom w:val="0"/>
                  <w:divBdr>
                    <w:top w:val="none" w:sz="0" w:space="0" w:color="auto"/>
                    <w:left w:val="none" w:sz="0" w:space="0" w:color="auto"/>
                    <w:bottom w:val="none" w:sz="0" w:space="0" w:color="auto"/>
                    <w:right w:val="none" w:sz="0" w:space="0" w:color="auto"/>
                  </w:divBdr>
                  <w:divsChild>
                    <w:div w:id="1729917580">
                      <w:marLeft w:val="0"/>
                      <w:marRight w:val="0"/>
                      <w:marTop w:val="0"/>
                      <w:marBottom w:val="0"/>
                      <w:divBdr>
                        <w:top w:val="none" w:sz="0" w:space="0" w:color="auto"/>
                        <w:left w:val="none" w:sz="0" w:space="0" w:color="auto"/>
                        <w:bottom w:val="none" w:sz="0" w:space="0" w:color="auto"/>
                        <w:right w:val="none" w:sz="0" w:space="0" w:color="auto"/>
                      </w:divBdr>
                      <w:divsChild>
                        <w:div w:id="16623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3428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nikgeo</dc:creator>
  <cp:lastModifiedBy>Enikos Default User</cp:lastModifiedBy>
  <cp:revision>2</cp:revision>
  <dcterms:created xsi:type="dcterms:W3CDTF">2017-02-05T11:24:00Z</dcterms:created>
  <dcterms:modified xsi:type="dcterms:W3CDTF">2017-02-05T11:24:00Z</dcterms:modified>
</cp:coreProperties>
</file>