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07" w:rsidRDefault="000A2184" w:rsidP="00263C7E">
      <w:pPr>
        <w:pStyle w:val="s5"/>
        <w:spacing w:before="0" w:beforeAutospacing="0" w:after="0" w:afterAutospacing="0"/>
        <w:jc w:val="center"/>
        <w:rPr>
          <w:rStyle w:val="s8"/>
          <w:b/>
          <w:bCs/>
          <w:lang w:val="en-US"/>
        </w:rPr>
      </w:pPr>
      <w:bookmarkStart w:id="0" w:name="_GoBack"/>
      <w:bookmarkEnd w:id="0"/>
      <w:r w:rsidRPr="00727D28">
        <w:rPr>
          <w:b/>
          <w:bCs/>
          <w:noProof/>
        </w:rPr>
        <w:drawing>
          <wp:inline distT="0" distB="0" distL="0" distR="0">
            <wp:extent cx="3028950" cy="704850"/>
            <wp:effectExtent l="19050" t="0" r="0" b="0"/>
            <wp:docPr id="4" name="Εικόνα 4" descr="C:\Users\kliok\Desktop\TEL-logo-esee-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iok\Desktop\TEL-logo-esee-01 (2).jpg"/>
                    <pic:cNvPicPr>
                      <a:picLocks noChangeAspect="1" noChangeArrowheads="1"/>
                    </pic:cNvPicPr>
                  </pic:nvPicPr>
                  <pic:blipFill>
                    <a:blip r:embed="rId9" cstate="print"/>
                    <a:srcRect/>
                    <a:stretch>
                      <a:fillRect/>
                    </a:stretch>
                  </pic:blipFill>
                  <pic:spPr bwMode="auto">
                    <a:xfrm>
                      <a:off x="0" y="0"/>
                      <a:ext cx="3028950" cy="704850"/>
                    </a:xfrm>
                    <a:prstGeom prst="rect">
                      <a:avLst/>
                    </a:prstGeom>
                    <a:noFill/>
                    <a:ln w="9525">
                      <a:noFill/>
                      <a:miter lim="800000"/>
                      <a:headEnd/>
                      <a:tailEnd/>
                    </a:ln>
                  </pic:spPr>
                </pic:pic>
              </a:graphicData>
            </a:graphic>
          </wp:inline>
        </w:drawing>
      </w:r>
    </w:p>
    <w:p w:rsidR="004B1639" w:rsidRDefault="004B1639" w:rsidP="004B1639">
      <w:pPr>
        <w:pStyle w:val="s4"/>
        <w:spacing w:before="0" w:beforeAutospacing="0" w:after="0" w:afterAutospacing="0"/>
        <w:rPr>
          <w:rStyle w:val="s3"/>
          <w:b/>
          <w:bCs/>
        </w:rPr>
      </w:pPr>
    </w:p>
    <w:p w:rsidR="00E64512" w:rsidRPr="00C16793" w:rsidRDefault="00E64512" w:rsidP="005A7FB4">
      <w:pPr>
        <w:pStyle w:val="ae"/>
        <w:ind w:left="4320" w:firstLine="720"/>
        <w:jc w:val="center"/>
        <w:rPr>
          <w:rFonts w:ascii="Times New Roman" w:hAnsi="Times New Roman"/>
          <w:sz w:val="24"/>
          <w:szCs w:val="24"/>
        </w:rPr>
      </w:pPr>
      <w:r w:rsidRPr="00C16793">
        <w:rPr>
          <w:rFonts w:ascii="Times New Roman" w:hAnsi="Times New Roman"/>
          <w:sz w:val="24"/>
          <w:szCs w:val="24"/>
        </w:rPr>
        <w:t xml:space="preserve">Αθήνα, </w:t>
      </w:r>
      <w:r w:rsidR="0093083B" w:rsidRPr="00C16793">
        <w:rPr>
          <w:rFonts w:ascii="Times New Roman" w:hAnsi="Times New Roman"/>
          <w:sz w:val="24"/>
          <w:szCs w:val="24"/>
        </w:rPr>
        <w:t>4</w:t>
      </w:r>
      <w:r w:rsidRPr="00C16793">
        <w:rPr>
          <w:rFonts w:ascii="Times New Roman" w:hAnsi="Times New Roman"/>
          <w:sz w:val="24"/>
          <w:szCs w:val="24"/>
        </w:rPr>
        <w:t xml:space="preserve"> </w:t>
      </w:r>
      <w:r w:rsidR="008B0698" w:rsidRPr="00C16793">
        <w:rPr>
          <w:rFonts w:ascii="Times New Roman" w:hAnsi="Times New Roman"/>
          <w:sz w:val="24"/>
          <w:szCs w:val="24"/>
        </w:rPr>
        <w:t>Σεπτεμβρίου</w:t>
      </w:r>
      <w:r w:rsidRPr="00C16793">
        <w:rPr>
          <w:rFonts w:ascii="Times New Roman" w:hAnsi="Times New Roman"/>
          <w:sz w:val="24"/>
          <w:szCs w:val="24"/>
        </w:rPr>
        <w:t xml:space="preserve"> </w:t>
      </w:r>
      <w:r w:rsidR="005A7FB4" w:rsidRPr="00C16793">
        <w:rPr>
          <w:rFonts w:ascii="Times New Roman" w:hAnsi="Times New Roman"/>
          <w:sz w:val="24"/>
          <w:szCs w:val="24"/>
        </w:rPr>
        <w:t>2017</w:t>
      </w:r>
    </w:p>
    <w:p w:rsidR="005A7FB4" w:rsidRDefault="005A7FB4" w:rsidP="00E64512">
      <w:pPr>
        <w:pStyle w:val="ae"/>
        <w:jc w:val="center"/>
        <w:rPr>
          <w:rFonts w:ascii="Times New Roman" w:hAnsi="Times New Roman"/>
          <w:sz w:val="25"/>
          <w:szCs w:val="25"/>
          <w:u w:val="single"/>
        </w:rPr>
      </w:pPr>
    </w:p>
    <w:p w:rsidR="00E64512" w:rsidRPr="00C16793" w:rsidRDefault="00E64512" w:rsidP="00E64512">
      <w:pPr>
        <w:pStyle w:val="ae"/>
        <w:jc w:val="center"/>
        <w:rPr>
          <w:rFonts w:ascii="Times New Roman" w:hAnsi="Times New Roman"/>
          <w:sz w:val="24"/>
          <w:szCs w:val="24"/>
          <w:u w:val="single"/>
        </w:rPr>
      </w:pPr>
      <w:r w:rsidRPr="00C16793">
        <w:rPr>
          <w:rFonts w:ascii="Times New Roman" w:hAnsi="Times New Roman"/>
          <w:sz w:val="24"/>
          <w:szCs w:val="24"/>
          <w:u w:val="single"/>
        </w:rPr>
        <w:t xml:space="preserve">ΔΕΛΤΙΟ ΤΥΠΟΥ </w:t>
      </w:r>
    </w:p>
    <w:p w:rsidR="007F099E" w:rsidRPr="00C16793" w:rsidRDefault="007F099E" w:rsidP="005A7FB4">
      <w:pPr>
        <w:spacing w:after="0"/>
        <w:rPr>
          <w:rFonts w:ascii="Times New Roman" w:hAnsi="Times New Roman" w:cs="Times New Roman"/>
          <w:sz w:val="24"/>
          <w:szCs w:val="24"/>
        </w:rPr>
      </w:pPr>
    </w:p>
    <w:p w:rsidR="00DE628D" w:rsidRPr="00C16793" w:rsidRDefault="00364DC5" w:rsidP="00364DC5">
      <w:pPr>
        <w:pStyle w:val="ae"/>
        <w:jc w:val="center"/>
        <w:rPr>
          <w:rFonts w:ascii="Times New Roman" w:hAnsi="Times New Roman"/>
          <w:b/>
          <w:sz w:val="24"/>
          <w:szCs w:val="24"/>
        </w:rPr>
      </w:pPr>
      <w:r w:rsidRPr="00C16793">
        <w:rPr>
          <w:rFonts w:ascii="Times New Roman" w:hAnsi="Times New Roman"/>
          <w:b/>
          <w:sz w:val="24"/>
          <w:szCs w:val="24"/>
        </w:rPr>
        <w:t>«</w:t>
      </w:r>
      <w:r w:rsidR="00DE628D" w:rsidRPr="00C16793">
        <w:rPr>
          <w:rFonts w:ascii="Times New Roman" w:hAnsi="Times New Roman"/>
          <w:b/>
          <w:sz w:val="24"/>
          <w:szCs w:val="24"/>
        </w:rPr>
        <w:t>Αποτελέσματα έρευνας θερινών εκπτώσεων 2017:</w:t>
      </w:r>
    </w:p>
    <w:p w:rsidR="007F099E" w:rsidRPr="00C16793" w:rsidRDefault="00573EE5" w:rsidP="00364DC5">
      <w:pPr>
        <w:pStyle w:val="ae"/>
        <w:jc w:val="center"/>
        <w:rPr>
          <w:rFonts w:ascii="Times New Roman" w:hAnsi="Times New Roman"/>
          <w:b/>
          <w:sz w:val="24"/>
          <w:szCs w:val="24"/>
        </w:rPr>
      </w:pPr>
      <w:r w:rsidRPr="00C16793">
        <w:rPr>
          <w:rFonts w:ascii="Times New Roman" w:hAnsi="Times New Roman"/>
          <w:b/>
          <w:sz w:val="24"/>
          <w:szCs w:val="24"/>
        </w:rPr>
        <w:t>Α</w:t>
      </w:r>
      <w:r w:rsidR="00DE628D" w:rsidRPr="00C16793">
        <w:rPr>
          <w:rFonts w:ascii="Times New Roman" w:hAnsi="Times New Roman"/>
          <w:b/>
          <w:sz w:val="24"/>
          <w:szCs w:val="24"/>
        </w:rPr>
        <w:t>ποκλ</w:t>
      </w:r>
      <w:r w:rsidR="00895476" w:rsidRPr="00C16793">
        <w:rPr>
          <w:rFonts w:ascii="Times New Roman" w:hAnsi="Times New Roman"/>
          <w:b/>
          <w:sz w:val="24"/>
          <w:szCs w:val="24"/>
        </w:rPr>
        <w:t>ίσεις μεταξύ κεντρικών και συνοικιακών αγορών</w:t>
      </w:r>
      <w:r w:rsidRPr="00C16793">
        <w:rPr>
          <w:rFonts w:ascii="Times New Roman" w:hAnsi="Times New Roman"/>
          <w:b/>
          <w:sz w:val="24"/>
          <w:szCs w:val="24"/>
        </w:rPr>
        <w:t>,</w:t>
      </w:r>
      <w:r w:rsidR="00895476" w:rsidRPr="00C16793">
        <w:rPr>
          <w:rFonts w:ascii="Times New Roman" w:hAnsi="Times New Roman"/>
          <w:b/>
          <w:sz w:val="24"/>
          <w:szCs w:val="24"/>
        </w:rPr>
        <w:t xml:space="preserve"> </w:t>
      </w:r>
      <w:r w:rsidRPr="00C16793">
        <w:rPr>
          <w:rFonts w:ascii="Times New Roman" w:hAnsi="Times New Roman"/>
          <w:b/>
          <w:sz w:val="24"/>
          <w:szCs w:val="24"/>
        </w:rPr>
        <w:t xml:space="preserve">αλλά και μεταξύ αστικών κέντρων </w:t>
      </w:r>
      <w:r w:rsidR="00895476" w:rsidRPr="00C16793">
        <w:rPr>
          <w:rFonts w:ascii="Times New Roman" w:hAnsi="Times New Roman"/>
          <w:b/>
          <w:sz w:val="24"/>
          <w:szCs w:val="24"/>
        </w:rPr>
        <w:t>και τουριστικών περιοχών</w:t>
      </w:r>
      <w:r w:rsidR="007F099E" w:rsidRPr="00C16793">
        <w:rPr>
          <w:rFonts w:ascii="Times New Roman" w:hAnsi="Times New Roman"/>
          <w:b/>
          <w:sz w:val="24"/>
          <w:szCs w:val="24"/>
        </w:rPr>
        <w:t>»</w:t>
      </w:r>
    </w:p>
    <w:p w:rsidR="007F099E" w:rsidRPr="00C16793" w:rsidRDefault="007F099E" w:rsidP="007F099E">
      <w:pPr>
        <w:pStyle w:val="ae"/>
        <w:jc w:val="both"/>
        <w:rPr>
          <w:rFonts w:ascii="Times New Roman" w:hAnsi="Times New Roman"/>
          <w:sz w:val="24"/>
          <w:szCs w:val="24"/>
        </w:rPr>
      </w:pPr>
    </w:p>
    <w:p w:rsidR="005A7FB4" w:rsidRDefault="005A7FB4" w:rsidP="005E767F">
      <w:pPr>
        <w:pStyle w:val="ae"/>
        <w:spacing w:line="276" w:lineRule="auto"/>
        <w:jc w:val="both"/>
        <w:rPr>
          <w:rFonts w:ascii="Times New Roman" w:hAnsi="Times New Roman"/>
          <w:sz w:val="24"/>
          <w:szCs w:val="24"/>
        </w:rPr>
      </w:pPr>
    </w:p>
    <w:p w:rsidR="004A75ED" w:rsidRDefault="007F099E" w:rsidP="005E767F">
      <w:pPr>
        <w:pStyle w:val="ae"/>
        <w:spacing w:line="276" w:lineRule="auto"/>
        <w:jc w:val="both"/>
        <w:rPr>
          <w:rFonts w:ascii="Times New Roman" w:hAnsi="Times New Roman"/>
          <w:sz w:val="24"/>
          <w:szCs w:val="24"/>
        </w:rPr>
      </w:pPr>
      <w:r w:rsidRPr="00FD66C7">
        <w:rPr>
          <w:rFonts w:ascii="Times New Roman" w:hAnsi="Times New Roman"/>
          <w:sz w:val="24"/>
          <w:szCs w:val="24"/>
        </w:rPr>
        <w:t xml:space="preserve">Το ΙΝΕΜΥ-ΕΣΕΕ πραγματοποίησε την </w:t>
      </w:r>
      <w:r w:rsidR="00A24371" w:rsidRPr="00FD66C7">
        <w:rPr>
          <w:rFonts w:ascii="Times New Roman" w:hAnsi="Times New Roman"/>
          <w:sz w:val="24"/>
          <w:szCs w:val="24"/>
        </w:rPr>
        <w:t xml:space="preserve">καθιερωμένη </w:t>
      </w:r>
      <w:r w:rsidRPr="00FD66C7">
        <w:rPr>
          <w:rFonts w:ascii="Times New Roman" w:hAnsi="Times New Roman"/>
          <w:sz w:val="24"/>
          <w:szCs w:val="24"/>
        </w:rPr>
        <w:t xml:space="preserve">περιοδική έρευνα για τις </w:t>
      </w:r>
      <w:r w:rsidR="00A24371" w:rsidRPr="00FD66C7">
        <w:rPr>
          <w:rFonts w:ascii="Times New Roman" w:hAnsi="Times New Roman"/>
          <w:sz w:val="24"/>
          <w:szCs w:val="24"/>
        </w:rPr>
        <w:t>θερινές</w:t>
      </w:r>
      <w:r w:rsidR="004A75ED" w:rsidRPr="00FD66C7">
        <w:rPr>
          <w:rFonts w:ascii="Times New Roman" w:hAnsi="Times New Roman"/>
          <w:sz w:val="24"/>
          <w:szCs w:val="24"/>
        </w:rPr>
        <w:t xml:space="preserve"> εκπτώσεις</w:t>
      </w:r>
      <w:r w:rsidR="007F2CB1">
        <w:rPr>
          <w:rFonts w:ascii="Times New Roman" w:hAnsi="Times New Roman"/>
          <w:sz w:val="24"/>
          <w:szCs w:val="24"/>
        </w:rPr>
        <w:t xml:space="preserve"> </w:t>
      </w:r>
      <w:r w:rsidR="002F7FFD" w:rsidRPr="002F7FFD">
        <w:rPr>
          <w:rFonts w:ascii="Times New Roman" w:hAnsi="Times New Roman"/>
          <w:sz w:val="24"/>
          <w:szCs w:val="24"/>
        </w:rPr>
        <w:t xml:space="preserve"> </w:t>
      </w:r>
      <w:r w:rsidR="007F2CB1">
        <w:rPr>
          <w:rFonts w:ascii="Times New Roman" w:hAnsi="Times New Roman"/>
          <w:sz w:val="24"/>
          <w:szCs w:val="24"/>
        </w:rPr>
        <w:t>2017</w:t>
      </w:r>
      <w:r w:rsidR="004A75ED" w:rsidRPr="00FD66C7">
        <w:rPr>
          <w:rFonts w:ascii="Times New Roman" w:hAnsi="Times New Roman"/>
          <w:sz w:val="24"/>
          <w:szCs w:val="24"/>
        </w:rPr>
        <w:t xml:space="preserve">, </w:t>
      </w:r>
      <w:r w:rsidR="00A24371" w:rsidRPr="00FD66C7">
        <w:rPr>
          <w:rFonts w:ascii="Times New Roman" w:hAnsi="Times New Roman"/>
          <w:sz w:val="24"/>
          <w:szCs w:val="24"/>
        </w:rPr>
        <w:t>διερευνώντας</w:t>
      </w:r>
      <w:r w:rsidRPr="00FD66C7">
        <w:rPr>
          <w:rFonts w:ascii="Times New Roman" w:hAnsi="Times New Roman"/>
          <w:sz w:val="24"/>
          <w:szCs w:val="24"/>
        </w:rPr>
        <w:t xml:space="preserve"> </w:t>
      </w:r>
      <w:r w:rsidR="00E67A81" w:rsidRPr="00FD66C7">
        <w:rPr>
          <w:rFonts w:ascii="Times New Roman" w:hAnsi="Times New Roman"/>
          <w:sz w:val="24"/>
          <w:szCs w:val="24"/>
        </w:rPr>
        <w:t xml:space="preserve">παράλληλα </w:t>
      </w:r>
      <w:r w:rsidRPr="00FD66C7">
        <w:rPr>
          <w:rFonts w:ascii="Times New Roman" w:hAnsi="Times New Roman"/>
          <w:sz w:val="24"/>
          <w:szCs w:val="24"/>
        </w:rPr>
        <w:t xml:space="preserve">τη στάση και τις απόψεις των εμπόρων για το άνοιγμα των Κυριακών. Η </w:t>
      </w:r>
      <w:r w:rsidR="00FD66C7" w:rsidRPr="00FD66C7">
        <w:rPr>
          <w:rFonts w:ascii="Times New Roman" w:hAnsi="Times New Roman"/>
          <w:sz w:val="24"/>
          <w:szCs w:val="24"/>
        </w:rPr>
        <w:t xml:space="preserve">εκπονηθείσα </w:t>
      </w:r>
      <w:r w:rsidRPr="00FD66C7">
        <w:rPr>
          <w:rFonts w:ascii="Times New Roman" w:hAnsi="Times New Roman"/>
          <w:sz w:val="24"/>
          <w:szCs w:val="24"/>
        </w:rPr>
        <w:t>τηλεφωνική</w:t>
      </w:r>
      <w:r w:rsidR="00242D90">
        <w:rPr>
          <w:rFonts w:ascii="Times New Roman" w:hAnsi="Times New Roman"/>
          <w:sz w:val="24"/>
          <w:szCs w:val="24"/>
        </w:rPr>
        <w:t xml:space="preserve"> έρευνα διενεργήθηκε</w:t>
      </w:r>
      <w:r w:rsidR="00FD66C7" w:rsidRPr="00FD66C7">
        <w:rPr>
          <w:rFonts w:ascii="Times New Roman" w:hAnsi="Times New Roman"/>
          <w:sz w:val="24"/>
          <w:szCs w:val="24"/>
        </w:rPr>
        <w:t xml:space="preserve"> μέσω</w:t>
      </w:r>
      <w:r w:rsidRPr="00FD66C7">
        <w:rPr>
          <w:rFonts w:ascii="Times New Roman" w:hAnsi="Times New Roman"/>
          <w:sz w:val="24"/>
          <w:szCs w:val="24"/>
        </w:rPr>
        <w:t xml:space="preserve"> χρήση</w:t>
      </w:r>
      <w:r w:rsidR="00FD66C7" w:rsidRPr="00FD66C7">
        <w:rPr>
          <w:rFonts w:ascii="Times New Roman" w:hAnsi="Times New Roman"/>
          <w:sz w:val="24"/>
          <w:szCs w:val="24"/>
        </w:rPr>
        <w:t>ς</w:t>
      </w:r>
      <w:r w:rsidRPr="00FD66C7">
        <w:rPr>
          <w:rFonts w:ascii="Times New Roman" w:hAnsi="Times New Roman"/>
          <w:sz w:val="24"/>
          <w:szCs w:val="24"/>
        </w:rPr>
        <w:t xml:space="preserve"> δομημένου ερωτηματολογίου σε </w:t>
      </w:r>
      <w:r w:rsidRPr="006C556E">
        <w:rPr>
          <w:rFonts w:ascii="Times New Roman" w:hAnsi="Times New Roman"/>
          <w:sz w:val="24"/>
          <w:szCs w:val="24"/>
        </w:rPr>
        <w:t xml:space="preserve">τυχαίο δείγμα </w:t>
      </w:r>
      <w:r w:rsidR="00DE628D" w:rsidRPr="006C556E">
        <w:rPr>
          <w:rFonts w:ascii="Times New Roman" w:hAnsi="Times New Roman"/>
          <w:sz w:val="24"/>
          <w:szCs w:val="24"/>
        </w:rPr>
        <w:t>250</w:t>
      </w:r>
      <w:r w:rsidRPr="006C556E">
        <w:rPr>
          <w:rFonts w:ascii="Times New Roman" w:hAnsi="Times New Roman"/>
          <w:sz w:val="24"/>
          <w:szCs w:val="24"/>
        </w:rPr>
        <w:t xml:space="preserve"> εμπορικών</w:t>
      </w:r>
      <w:r w:rsidRPr="00FD66C7">
        <w:rPr>
          <w:rFonts w:ascii="Times New Roman" w:hAnsi="Times New Roman"/>
          <w:sz w:val="24"/>
          <w:szCs w:val="24"/>
        </w:rPr>
        <w:t xml:space="preserve"> επιχειρήσεων σε παραδοσιακές εμπορικές αγορές αστικών κέντρων της χώρας.</w:t>
      </w:r>
      <w:r w:rsidR="004A75ED" w:rsidRPr="00FD66C7">
        <w:rPr>
          <w:rFonts w:ascii="Times New Roman" w:hAnsi="Times New Roman"/>
          <w:sz w:val="24"/>
          <w:szCs w:val="24"/>
        </w:rPr>
        <w:t xml:space="preserve"> Παράλληλα κατεγράφησαν και οι απόψεις πολλών Εμπορικών Συλλόγων από το σύνολο της Επικράτειας.</w:t>
      </w:r>
    </w:p>
    <w:p w:rsidR="005A7FB4" w:rsidRDefault="005A7FB4" w:rsidP="005A7FB4">
      <w:pPr>
        <w:pStyle w:val="ae"/>
        <w:jc w:val="center"/>
        <w:rPr>
          <w:rFonts w:ascii="Times New Roman" w:hAnsi="Times New Roman"/>
          <w:b/>
          <w:i/>
          <w:sz w:val="24"/>
          <w:szCs w:val="24"/>
          <w:u w:val="single"/>
        </w:rPr>
      </w:pPr>
    </w:p>
    <w:p w:rsidR="00DE628D" w:rsidRDefault="00DE628D" w:rsidP="00DE628D">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Όπως προκύπτει από τα αποτελέσματα της έρευνας που πραγματοποιεί σε ετήσια βάση το ΙΝΕΜΥ-ΕΣΕΕ, ο κύκλος εργασιών κατά τη διάρκεια των θερινών εκπτώσεων δεν ήταν ο αναμενόμενος, ιδιαίτερα μετά από έναν πολύ καλό Ιούνιο. Παρ όλα αυτά, θα πρέπει να επισημανθεί η διαφορετική εικόνα ανάμεσα σε πολύ μικρές και μεγαλύτερες επιχειρήσεις αλλά και σε εκείνες που βρίσκονται κοντά σε τουριστικούς προορισμούς. </w:t>
      </w:r>
      <w:r w:rsidRPr="00AB45DF">
        <w:rPr>
          <w:rFonts w:ascii="Times New Roman" w:hAnsi="Times New Roman" w:cs="Times New Roman"/>
          <w:sz w:val="24"/>
          <w:szCs w:val="24"/>
        </w:rPr>
        <w:t>Έτσι θα λ</w:t>
      </w:r>
      <w:r w:rsidR="00F410FE" w:rsidRPr="00AB45DF">
        <w:rPr>
          <w:rFonts w:ascii="Times New Roman" w:hAnsi="Times New Roman" w:cs="Times New Roman"/>
          <w:sz w:val="24"/>
          <w:szCs w:val="24"/>
        </w:rPr>
        <w:t xml:space="preserve">έγαμε ότι τα όρια που κινήθηκε ο τζίρος </w:t>
      </w:r>
      <w:r w:rsidRPr="00AB45DF">
        <w:rPr>
          <w:rFonts w:ascii="Times New Roman" w:hAnsi="Times New Roman" w:cs="Times New Roman"/>
          <w:sz w:val="24"/>
          <w:szCs w:val="24"/>
        </w:rPr>
        <w:t xml:space="preserve">ήταν από </w:t>
      </w:r>
      <w:r w:rsidRPr="00AB45DF">
        <w:rPr>
          <w:rFonts w:ascii="Times New Roman" w:hAnsi="Times New Roman" w:cs="Times New Roman"/>
          <w:b/>
          <w:sz w:val="24"/>
          <w:szCs w:val="24"/>
        </w:rPr>
        <w:t xml:space="preserve">+3% </w:t>
      </w:r>
      <w:r w:rsidR="00F410FE" w:rsidRPr="00AB45DF">
        <w:rPr>
          <w:rFonts w:ascii="Times New Roman" w:hAnsi="Times New Roman" w:cs="Times New Roman"/>
          <w:b/>
          <w:sz w:val="24"/>
          <w:szCs w:val="24"/>
        </w:rPr>
        <w:t>για όσε</w:t>
      </w:r>
      <w:r w:rsidR="00F93522" w:rsidRPr="00AB45DF">
        <w:rPr>
          <w:rFonts w:ascii="Times New Roman" w:hAnsi="Times New Roman" w:cs="Times New Roman"/>
          <w:b/>
          <w:sz w:val="24"/>
          <w:szCs w:val="24"/>
        </w:rPr>
        <w:t>ς επιχειρήσεις είχαν αύξηση και κατά μέσο όρο</w:t>
      </w:r>
      <w:r w:rsidR="00F410FE" w:rsidRPr="00AB45DF">
        <w:rPr>
          <w:rFonts w:ascii="Times New Roman" w:hAnsi="Times New Roman" w:cs="Times New Roman"/>
          <w:b/>
          <w:sz w:val="24"/>
          <w:szCs w:val="24"/>
        </w:rPr>
        <w:t xml:space="preserve"> -1</w:t>
      </w:r>
      <w:r w:rsidR="00F93522" w:rsidRPr="00AB45DF">
        <w:rPr>
          <w:rFonts w:ascii="Times New Roman" w:hAnsi="Times New Roman" w:cs="Times New Roman"/>
          <w:b/>
          <w:sz w:val="24"/>
          <w:szCs w:val="24"/>
        </w:rPr>
        <w:t>1,5</w:t>
      </w:r>
      <w:r w:rsidRPr="00AB45DF">
        <w:rPr>
          <w:rFonts w:ascii="Times New Roman" w:hAnsi="Times New Roman" w:cs="Times New Roman"/>
          <w:b/>
          <w:sz w:val="24"/>
          <w:szCs w:val="24"/>
        </w:rPr>
        <w:t>%</w:t>
      </w:r>
      <w:r w:rsidR="00F410FE" w:rsidRPr="00AB45DF">
        <w:rPr>
          <w:rFonts w:ascii="Times New Roman" w:hAnsi="Times New Roman" w:cs="Times New Roman"/>
          <w:b/>
          <w:sz w:val="24"/>
          <w:szCs w:val="24"/>
        </w:rPr>
        <w:t xml:space="preserve"> για όσες είχαν μείωση</w:t>
      </w:r>
      <w:r w:rsidRPr="00AB45DF">
        <w:rPr>
          <w:rFonts w:ascii="Times New Roman" w:hAnsi="Times New Roman" w:cs="Times New Roman"/>
          <w:b/>
          <w:sz w:val="24"/>
          <w:szCs w:val="24"/>
        </w:rPr>
        <w:t>.</w:t>
      </w:r>
      <w:r w:rsidRPr="00AB45DF">
        <w:rPr>
          <w:rFonts w:ascii="Times New Roman" w:hAnsi="Times New Roman" w:cs="Times New Roman"/>
          <w:sz w:val="24"/>
          <w:szCs w:val="24"/>
        </w:rPr>
        <w:t xml:space="preserve"> </w:t>
      </w:r>
      <w:r w:rsidR="00F410FE" w:rsidRPr="00AB45DF">
        <w:rPr>
          <w:rFonts w:ascii="Times New Roman" w:hAnsi="Times New Roman" w:cs="Times New Roman"/>
          <w:sz w:val="24"/>
          <w:szCs w:val="24"/>
        </w:rPr>
        <w:t xml:space="preserve"> Θα λέγαμε επομένως ότι μεσοσταθμικά η </w:t>
      </w:r>
      <w:r w:rsidR="00F410FE" w:rsidRPr="00AB45DF">
        <w:rPr>
          <w:rFonts w:ascii="Times New Roman" w:hAnsi="Times New Roman"/>
          <w:b/>
          <w:sz w:val="24"/>
          <w:szCs w:val="24"/>
        </w:rPr>
        <w:t xml:space="preserve">μείωση των πωλήσεων </w:t>
      </w:r>
      <w:r w:rsidR="00F93522" w:rsidRPr="00AB45DF">
        <w:rPr>
          <w:rFonts w:ascii="Times New Roman" w:hAnsi="Times New Roman"/>
          <w:b/>
          <w:sz w:val="24"/>
          <w:szCs w:val="24"/>
        </w:rPr>
        <w:t>περιορίστηκε φέτος</w:t>
      </w:r>
      <w:r w:rsidR="00F410FE" w:rsidRPr="00AB45DF">
        <w:rPr>
          <w:rFonts w:ascii="Times New Roman" w:hAnsi="Times New Roman"/>
          <w:b/>
          <w:sz w:val="24"/>
          <w:szCs w:val="24"/>
        </w:rPr>
        <w:t xml:space="preserve"> </w:t>
      </w:r>
      <w:r w:rsidR="00F410FE" w:rsidRPr="00AB45DF">
        <w:rPr>
          <w:rFonts w:ascii="Times New Roman" w:hAnsi="Times New Roman"/>
          <w:sz w:val="24"/>
          <w:szCs w:val="24"/>
        </w:rPr>
        <w:t>λαμβάνοντας υπόψη και τις προαναφερθείσες σημαντικές διαφοροποιήσεις.</w:t>
      </w:r>
    </w:p>
    <w:p w:rsidR="00A459C6" w:rsidRPr="004631CC" w:rsidRDefault="00A459C6" w:rsidP="00A459C6">
      <w:pPr>
        <w:pStyle w:val="ae"/>
        <w:rPr>
          <w:rFonts w:ascii="Times New Roman" w:hAnsi="Times New Roman"/>
          <w:b/>
          <w:sz w:val="24"/>
          <w:szCs w:val="24"/>
          <w:u w:val="single"/>
        </w:rPr>
      </w:pPr>
    </w:p>
    <w:p w:rsidR="00DE628D" w:rsidRPr="00884B70" w:rsidRDefault="00DE628D" w:rsidP="00DE628D">
      <w:pPr>
        <w:pStyle w:val="ae"/>
        <w:jc w:val="center"/>
        <w:rPr>
          <w:rFonts w:ascii="Times New Roman" w:hAnsi="Times New Roman"/>
          <w:b/>
          <w:i/>
          <w:sz w:val="26"/>
          <w:szCs w:val="26"/>
          <w:u w:val="single"/>
        </w:rPr>
      </w:pPr>
      <w:r w:rsidRPr="00884B70">
        <w:rPr>
          <w:rFonts w:ascii="Times New Roman" w:hAnsi="Times New Roman"/>
          <w:b/>
          <w:i/>
          <w:sz w:val="26"/>
          <w:szCs w:val="26"/>
          <w:u w:val="single"/>
        </w:rPr>
        <w:t>Σύνοψη αποτελεσμάτων</w:t>
      </w:r>
    </w:p>
    <w:p w:rsidR="00A459C6" w:rsidRDefault="00A459C6" w:rsidP="00A459C6">
      <w:pPr>
        <w:pStyle w:val="ae"/>
        <w:rPr>
          <w:rFonts w:ascii="Times New Roman" w:hAnsi="Times New Roman"/>
          <w:b/>
          <w:sz w:val="24"/>
          <w:szCs w:val="24"/>
          <w:u w:val="single"/>
        </w:rPr>
      </w:pPr>
    </w:p>
    <w:p w:rsidR="007C4C09" w:rsidRPr="00DE628D" w:rsidRDefault="006C556E" w:rsidP="007C4C09">
      <w:pPr>
        <w:pStyle w:val="ae"/>
        <w:numPr>
          <w:ilvl w:val="0"/>
          <w:numId w:val="25"/>
        </w:numPr>
        <w:spacing w:line="276" w:lineRule="auto"/>
        <w:rPr>
          <w:rFonts w:ascii="Times New Roman" w:hAnsi="Times New Roman"/>
          <w:b/>
          <w:sz w:val="24"/>
          <w:szCs w:val="24"/>
        </w:rPr>
      </w:pPr>
      <w:r>
        <w:rPr>
          <w:rFonts w:ascii="Times New Roman" w:hAnsi="Times New Roman"/>
          <w:b/>
          <w:sz w:val="24"/>
          <w:szCs w:val="24"/>
        </w:rPr>
        <w:t>Το ύψος του ποσοστού έκπτωσης</w:t>
      </w:r>
      <w:r w:rsidR="007C4C09">
        <w:rPr>
          <w:rFonts w:ascii="Times New Roman" w:hAnsi="Times New Roman"/>
          <w:sz w:val="24"/>
          <w:szCs w:val="24"/>
        </w:rPr>
        <w:t xml:space="preserve"> στις εμπορικές αγορές κυμάνθηκε </w:t>
      </w:r>
      <w:r w:rsidR="00EF4E21">
        <w:rPr>
          <w:rFonts w:ascii="Times New Roman" w:hAnsi="Times New Roman"/>
          <w:b/>
          <w:sz w:val="24"/>
          <w:szCs w:val="24"/>
        </w:rPr>
        <w:t xml:space="preserve">από </w:t>
      </w:r>
      <w:r w:rsidR="007C4C09" w:rsidRPr="007C4C09">
        <w:rPr>
          <w:rFonts w:ascii="Times New Roman" w:hAnsi="Times New Roman"/>
          <w:b/>
          <w:sz w:val="24"/>
          <w:szCs w:val="24"/>
        </w:rPr>
        <w:t>21</w:t>
      </w:r>
      <w:r w:rsidR="009367AD">
        <w:rPr>
          <w:rFonts w:ascii="Times New Roman" w:hAnsi="Times New Roman"/>
          <w:b/>
          <w:sz w:val="24"/>
          <w:szCs w:val="24"/>
        </w:rPr>
        <w:t>%</w:t>
      </w:r>
      <w:r w:rsidR="007C4C09" w:rsidRPr="007C4C09">
        <w:rPr>
          <w:rFonts w:ascii="Times New Roman" w:hAnsi="Times New Roman"/>
          <w:b/>
          <w:sz w:val="24"/>
          <w:szCs w:val="24"/>
        </w:rPr>
        <w:t xml:space="preserve"> έως 40%</w:t>
      </w:r>
      <w:r w:rsidR="007C4C09">
        <w:rPr>
          <w:rFonts w:ascii="Times New Roman" w:hAnsi="Times New Roman"/>
          <w:b/>
          <w:sz w:val="24"/>
          <w:szCs w:val="24"/>
        </w:rPr>
        <w:t>.</w:t>
      </w:r>
    </w:p>
    <w:p w:rsidR="00BE6DB9" w:rsidRPr="00BE6DB9" w:rsidRDefault="00A459C6" w:rsidP="00BE6DB9">
      <w:pPr>
        <w:pStyle w:val="ae"/>
        <w:numPr>
          <w:ilvl w:val="0"/>
          <w:numId w:val="25"/>
        </w:numPr>
        <w:spacing w:line="276" w:lineRule="auto"/>
        <w:jc w:val="both"/>
        <w:rPr>
          <w:rFonts w:ascii="Times New Roman" w:hAnsi="Times New Roman"/>
          <w:sz w:val="24"/>
          <w:szCs w:val="24"/>
        </w:rPr>
      </w:pPr>
      <w:r w:rsidRPr="007C4C09">
        <w:rPr>
          <w:rFonts w:ascii="Times New Roman" w:hAnsi="Times New Roman"/>
          <w:b/>
          <w:sz w:val="24"/>
          <w:szCs w:val="24"/>
        </w:rPr>
        <w:t xml:space="preserve">Οι επιδόσεις </w:t>
      </w:r>
      <w:r w:rsidRPr="006C556E">
        <w:rPr>
          <w:rFonts w:ascii="Times New Roman" w:hAnsi="Times New Roman"/>
          <w:sz w:val="24"/>
          <w:szCs w:val="24"/>
        </w:rPr>
        <w:t>των εμπορικών επιχειρήσεων</w:t>
      </w:r>
      <w:r>
        <w:rPr>
          <w:rFonts w:ascii="Times New Roman" w:hAnsi="Times New Roman"/>
          <w:sz w:val="24"/>
          <w:szCs w:val="24"/>
        </w:rPr>
        <w:t xml:space="preserve"> φαίνεται να </w:t>
      </w:r>
      <w:r w:rsidRPr="007C4C09">
        <w:rPr>
          <w:rFonts w:ascii="Times New Roman" w:hAnsi="Times New Roman"/>
          <w:b/>
          <w:sz w:val="24"/>
          <w:szCs w:val="24"/>
        </w:rPr>
        <w:t>διαφοροποιούνται αισθητά ανάλογα τον τόπο εγκατάστασης και το μέγεθος της επιχείρησης.</w:t>
      </w:r>
      <w:r>
        <w:rPr>
          <w:rFonts w:ascii="Times New Roman" w:hAnsi="Times New Roman"/>
          <w:sz w:val="24"/>
          <w:szCs w:val="24"/>
        </w:rPr>
        <w:t xml:space="preserve"> </w:t>
      </w:r>
      <w:r w:rsidR="009367AD">
        <w:rPr>
          <w:rFonts w:ascii="Times New Roman" w:hAnsi="Times New Roman"/>
          <w:sz w:val="24"/>
          <w:szCs w:val="24"/>
        </w:rPr>
        <w:t>Πιο συγκεκριμένα</w:t>
      </w:r>
      <w:r w:rsidR="006C556E">
        <w:rPr>
          <w:rFonts w:ascii="Times New Roman" w:hAnsi="Times New Roman"/>
          <w:sz w:val="24"/>
          <w:szCs w:val="24"/>
        </w:rPr>
        <w:t>,</w:t>
      </w:r>
      <w:r w:rsidR="009367AD">
        <w:rPr>
          <w:rFonts w:ascii="Times New Roman" w:hAnsi="Times New Roman"/>
          <w:sz w:val="24"/>
          <w:szCs w:val="24"/>
        </w:rPr>
        <w:t xml:space="preserve"> ο</w:t>
      </w:r>
      <w:r w:rsidR="006C556E">
        <w:rPr>
          <w:rFonts w:ascii="Times New Roman" w:hAnsi="Times New Roman"/>
          <w:sz w:val="24"/>
          <w:szCs w:val="24"/>
        </w:rPr>
        <w:t>ι</w:t>
      </w:r>
      <w:r w:rsidR="009367AD">
        <w:rPr>
          <w:rFonts w:ascii="Times New Roman" w:hAnsi="Times New Roman"/>
          <w:sz w:val="24"/>
          <w:szCs w:val="24"/>
        </w:rPr>
        <w:t xml:space="preserve"> ε</w:t>
      </w:r>
      <w:r>
        <w:rPr>
          <w:rFonts w:ascii="Times New Roman" w:hAnsi="Times New Roman"/>
          <w:sz w:val="24"/>
          <w:szCs w:val="24"/>
        </w:rPr>
        <w:t>πιχειρήσεις με αυτο</w:t>
      </w:r>
      <w:r w:rsidR="007C4C09">
        <w:rPr>
          <w:rFonts w:ascii="Times New Roman" w:hAnsi="Times New Roman"/>
          <w:sz w:val="24"/>
          <w:szCs w:val="24"/>
        </w:rPr>
        <w:t>α</w:t>
      </w:r>
      <w:r w:rsidR="006C556E">
        <w:rPr>
          <w:rFonts w:ascii="Times New Roman" w:hAnsi="Times New Roman"/>
          <w:sz w:val="24"/>
          <w:szCs w:val="24"/>
        </w:rPr>
        <w:t>παασχόλη</w:t>
      </w:r>
      <w:r>
        <w:rPr>
          <w:rFonts w:ascii="Times New Roman" w:hAnsi="Times New Roman"/>
          <w:sz w:val="24"/>
          <w:szCs w:val="24"/>
        </w:rPr>
        <w:t>ση σε περιφ</w:t>
      </w:r>
      <w:r w:rsidR="007C4C09">
        <w:rPr>
          <w:rFonts w:ascii="Times New Roman" w:hAnsi="Times New Roman"/>
          <w:sz w:val="24"/>
          <w:szCs w:val="24"/>
        </w:rPr>
        <w:t xml:space="preserve">ερειακές και συνοικιακές αγορές </w:t>
      </w:r>
      <w:r w:rsidR="007C4C09" w:rsidRPr="006C556E">
        <w:rPr>
          <w:rFonts w:ascii="Times New Roman" w:hAnsi="Times New Roman"/>
          <w:b/>
          <w:sz w:val="24"/>
          <w:szCs w:val="24"/>
        </w:rPr>
        <w:t>κινήθηκαν πτωτικά</w:t>
      </w:r>
      <w:r w:rsidR="00202F87" w:rsidRPr="00202F87">
        <w:rPr>
          <w:rFonts w:ascii="Times New Roman" w:hAnsi="Times New Roman"/>
          <w:sz w:val="24"/>
          <w:szCs w:val="24"/>
        </w:rPr>
        <w:t xml:space="preserve"> </w:t>
      </w:r>
      <w:r w:rsidR="00202F87">
        <w:rPr>
          <w:rFonts w:ascii="Times New Roman" w:hAnsi="Times New Roman"/>
          <w:sz w:val="24"/>
          <w:szCs w:val="24"/>
        </w:rPr>
        <w:t xml:space="preserve">από </w:t>
      </w:r>
      <w:r w:rsidR="00F93522">
        <w:rPr>
          <w:rFonts w:ascii="Times New Roman" w:hAnsi="Times New Roman"/>
          <w:b/>
          <w:sz w:val="24"/>
          <w:szCs w:val="24"/>
        </w:rPr>
        <w:t xml:space="preserve">- </w:t>
      </w:r>
      <w:r w:rsidR="00202F87">
        <w:rPr>
          <w:rFonts w:ascii="Times New Roman" w:hAnsi="Times New Roman"/>
          <w:b/>
          <w:sz w:val="24"/>
          <w:szCs w:val="24"/>
        </w:rPr>
        <w:t>9</w:t>
      </w:r>
      <w:r w:rsidR="00F410FE">
        <w:rPr>
          <w:rFonts w:ascii="Times New Roman" w:hAnsi="Times New Roman"/>
          <w:b/>
          <w:sz w:val="24"/>
          <w:szCs w:val="24"/>
        </w:rPr>
        <w:t>%</w:t>
      </w:r>
      <w:r w:rsidR="00202F87" w:rsidRPr="00042C30">
        <w:rPr>
          <w:rFonts w:ascii="Times New Roman" w:hAnsi="Times New Roman"/>
          <w:b/>
          <w:sz w:val="24"/>
          <w:szCs w:val="24"/>
        </w:rPr>
        <w:t xml:space="preserve"> έως </w:t>
      </w:r>
      <w:r w:rsidR="00F93522">
        <w:rPr>
          <w:rFonts w:ascii="Times New Roman" w:hAnsi="Times New Roman"/>
          <w:b/>
          <w:sz w:val="24"/>
          <w:szCs w:val="24"/>
        </w:rPr>
        <w:t xml:space="preserve">- </w:t>
      </w:r>
      <w:r w:rsidR="00202F87">
        <w:rPr>
          <w:rFonts w:ascii="Times New Roman" w:hAnsi="Times New Roman"/>
          <w:b/>
          <w:sz w:val="24"/>
          <w:szCs w:val="24"/>
        </w:rPr>
        <w:t>15</w:t>
      </w:r>
      <w:r w:rsidR="00202F87" w:rsidRPr="00042C30">
        <w:rPr>
          <w:rFonts w:ascii="Times New Roman" w:hAnsi="Times New Roman"/>
          <w:b/>
          <w:sz w:val="24"/>
          <w:szCs w:val="24"/>
        </w:rPr>
        <w:t>%</w:t>
      </w:r>
      <w:r w:rsidR="00202F87">
        <w:rPr>
          <w:rFonts w:ascii="Times New Roman" w:hAnsi="Times New Roman"/>
          <w:b/>
          <w:sz w:val="24"/>
          <w:szCs w:val="24"/>
        </w:rPr>
        <w:t xml:space="preserve">. </w:t>
      </w:r>
      <w:r w:rsidR="009367AD">
        <w:rPr>
          <w:rFonts w:ascii="Times New Roman" w:hAnsi="Times New Roman"/>
          <w:sz w:val="24"/>
          <w:szCs w:val="24"/>
        </w:rPr>
        <w:t xml:space="preserve">Αντίθετα οι μεγαλύτερες επιχειρήσεις ή εκείνες που βρίσκονται σε τουριστικές περιοχές εμφάνισαν </w:t>
      </w:r>
      <w:r w:rsidR="009367AD" w:rsidRPr="00EF4E21">
        <w:rPr>
          <w:rFonts w:ascii="Times New Roman" w:hAnsi="Times New Roman"/>
          <w:b/>
          <w:sz w:val="24"/>
          <w:szCs w:val="24"/>
        </w:rPr>
        <w:t>είτε σταθερότητα είτε αύξηση</w:t>
      </w:r>
      <w:r w:rsidR="00202F87">
        <w:rPr>
          <w:rFonts w:ascii="Times New Roman" w:hAnsi="Times New Roman"/>
          <w:b/>
          <w:sz w:val="24"/>
          <w:szCs w:val="24"/>
        </w:rPr>
        <w:t xml:space="preserve"> (έως +3%)</w:t>
      </w:r>
      <w:r w:rsidR="009367AD" w:rsidRPr="00EF4E21">
        <w:rPr>
          <w:rFonts w:ascii="Times New Roman" w:hAnsi="Times New Roman"/>
          <w:b/>
          <w:sz w:val="24"/>
          <w:szCs w:val="24"/>
        </w:rPr>
        <w:t>.</w:t>
      </w:r>
      <w:r w:rsidR="009367AD">
        <w:rPr>
          <w:rFonts w:ascii="Times New Roman" w:hAnsi="Times New Roman"/>
          <w:sz w:val="24"/>
          <w:szCs w:val="24"/>
        </w:rPr>
        <w:t xml:space="preserve"> </w:t>
      </w:r>
      <w:r w:rsidR="00DF6337" w:rsidRPr="00BE6DB9">
        <w:rPr>
          <w:rFonts w:ascii="Times New Roman" w:hAnsi="Times New Roman"/>
          <w:b/>
          <w:sz w:val="24"/>
          <w:szCs w:val="24"/>
        </w:rPr>
        <w:t>Η μεσοσταθμική μείωση των πωλ</w:t>
      </w:r>
      <w:r w:rsidR="00CF1872" w:rsidRPr="00BE6DB9">
        <w:rPr>
          <w:rFonts w:ascii="Times New Roman" w:hAnsi="Times New Roman"/>
          <w:b/>
          <w:sz w:val="24"/>
          <w:szCs w:val="24"/>
        </w:rPr>
        <w:t>ήσεων</w:t>
      </w:r>
      <w:r w:rsidR="00EF4E21" w:rsidRPr="00BE6DB9">
        <w:rPr>
          <w:rFonts w:ascii="Times New Roman" w:hAnsi="Times New Roman"/>
          <w:b/>
          <w:sz w:val="24"/>
          <w:szCs w:val="24"/>
        </w:rPr>
        <w:t xml:space="preserve"> ήταν</w:t>
      </w:r>
      <w:r w:rsidR="00CF1872" w:rsidRPr="00BE6DB9">
        <w:rPr>
          <w:rFonts w:ascii="Times New Roman" w:hAnsi="Times New Roman"/>
          <w:b/>
          <w:sz w:val="24"/>
          <w:szCs w:val="24"/>
        </w:rPr>
        <w:t xml:space="preserve"> </w:t>
      </w:r>
      <w:r w:rsidR="00F93522">
        <w:rPr>
          <w:rFonts w:ascii="Times New Roman" w:hAnsi="Times New Roman"/>
          <w:b/>
          <w:sz w:val="24"/>
          <w:szCs w:val="24"/>
        </w:rPr>
        <w:t xml:space="preserve"> περίπου </w:t>
      </w:r>
      <w:r w:rsidR="00EF4E21" w:rsidRPr="00BE6DB9">
        <w:rPr>
          <w:rFonts w:ascii="Times New Roman" w:hAnsi="Times New Roman"/>
          <w:b/>
          <w:sz w:val="24"/>
          <w:szCs w:val="24"/>
        </w:rPr>
        <w:t>(</w:t>
      </w:r>
      <w:r w:rsidR="00CF1872" w:rsidRPr="00BE6DB9">
        <w:rPr>
          <w:rFonts w:ascii="Times New Roman" w:hAnsi="Times New Roman"/>
          <w:b/>
          <w:sz w:val="24"/>
          <w:szCs w:val="24"/>
        </w:rPr>
        <w:t>-</w:t>
      </w:r>
      <w:r w:rsidR="00AB45DF">
        <w:rPr>
          <w:rFonts w:ascii="Times New Roman" w:hAnsi="Times New Roman"/>
          <w:b/>
          <w:sz w:val="24"/>
          <w:szCs w:val="24"/>
        </w:rPr>
        <w:t>3</w:t>
      </w:r>
      <w:r w:rsidR="00CF1872" w:rsidRPr="00BE6DB9">
        <w:rPr>
          <w:rFonts w:ascii="Times New Roman" w:hAnsi="Times New Roman"/>
          <w:b/>
          <w:sz w:val="24"/>
          <w:szCs w:val="24"/>
        </w:rPr>
        <w:t>%</w:t>
      </w:r>
      <w:r w:rsidR="00EF4E21" w:rsidRPr="00BE6DB9">
        <w:rPr>
          <w:rFonts w:ascii="Times New Roman" w:hAnsi="Times New Roman"/>
          <w:b/>
          <w:sz w:val="24"/>
          <w:szCs w:val="24"/>
        </w:rPr>
        <w:t>)</w:t>
      </w:r>
      <w:r w:rsidR="00DF6337" w:rsidRPr="00BE6DB9">
        <w:rPr>
          <w:rFonts w:ascii="Times New Roman" w:hAnsi="Times New Roman"/>
          <w:b/>
          <w:sz w:val="24"/>
          <w:szCs w:val="24"/>
        </w:rPr>
        <w:t>,</w:t>
      </w:r>
      <w:r w:rsidR="00DF6337" w:rsidRPr="00BE6DB9">
        <w:rPr>
          <w:rFonts w:ascii="Times New Roman" w:hAnsi="Times New Roman"/>
          <w:sz w:val="24"/>
          <w:szCs w:val="24"/>
        </w:rPr>
        <w:t xml:space="preserve"> λαμβάνοντας υπόψη και τις </w:t>
      </w:r>
      <w:r w:rsidR="00BE6DB9">
        <w:rPr>
          <w:rFonts w:ascii="Times New Roman" w:hAnsi="Times New Roman"/>
          <w:sz w:val="24"/>
          <w:szCs w:val="24"/>
        </w:rPr>
        <w:t xml:space="preserve">προαναφερθείσες </w:t>
      </w:r>
      <w:r w:rsidR="00DF6337" w:rsidRPr="00BE6DB9">
        <w:rPr>
          <w:rFonts w:ascii="Times New Roman" w:hAnsi="Times New Roman"/>
          <w:sz w:val="24"/>
          <w:szCs w:val="24"/>
        </w:rPr>
        <w:t xml:space="preserve">σημαντικές διαφοροποιήσεις. </w:t>
      </w:r>
    </w:p>
    <w:p w:rsidR="007C4C09" w:rsidRPr="00BE6DB9" w:rsidRDefault="007C4C09" w:rsidP="007C4C09">
      <w:pPr>
        <w:pStyle w:val="ae"/>
        <w:numPr>
          <w:ilvl w:val="0"/>
          <w:numId w:val="25"/>
        </w:numPr>
        <w:spacing w:line="276" w:lineRule="auto"/>
        <w:jc w:val="both"/>
        <w:rPr>
          <w:rFonts w:ascii="Times New Roman" w:hAnsi="Times New Roman"/>
          <w:sz w:val="24"/>
          <w:szCs w:val="24"/>
        </w:rPr>
      </w:pPr>
      <w:r w:rsidRPr="00BE6DB9">
        <w:rPr>
          <w:rFonts w:ascii="Times New Roman" w:hAnsi="Times New Roman"/>
          <w:b/>
          <w:sz w:val="24"/>
          <w:szCs w:val="24"/>
        </w:rPr>
        <w:t>Η τουριστική κίνηση</w:t>
      </w:r>
      <w:r w:rsidRPr="00BE6DB9">
        <w:rPr>
          <w:rFonts w:ascii="Times New Roman" w:hAnsi="Times New Roman"/>
          <w:sz w:val="24"/>
          <w:szCs w:val="24"/>
        </w:rPr>
        <w:t xml:space="preserve">, αυξημένη σε όλες τις τουριστικές περιοχές,  </w:t>
      </w:r>
      <w:r w:rsidRPr="00BE6DB9">
        <w:rPr>
          <w:rFonts w:ascii="Times New Roman" w:hAnsi="Times New Roman"/>
          <w:b/>
          <w:sz w:val="24"/>
          <w:szCs w:val="24"/>
        </w:rPr>
        <w:t>ευνοεί επιλεκτικά συγκριμένες εμπορικές αγορές  και συγκριμένα εμπορικά καταστήματα</w:t>
      </w:r>
      <w:r w:rsidRPr="00BE6DB9">
        <w:rPr>
          <w:rFonts w:ascii="Times New Roman" w:hAnsi="Times New Roman"/>
          <w:sz w:val="24"/>
          <w:szCs w:val="24"/>
        </w:rPr>
        <w:t xml:space="preserve"> (πχ. Κέντρο Αθήνας), </w:t>
      </w:r>
      <w:r w:rsidR="00BE6DB9">
        <w:rPr>
          <w:rFonts w:ascii="Times New Roman" w:hAnsi="Times New Roman"/>
          <w:sz w:val="24"/>
          <w:szCs w:val="24"/>
        </w:rPr>
        <w:t>ενώ</w:t>
      </w:r>
      <w:r w:rsidRPr="00BE6DB9">
        <w:rPr>
          <w:rFonts w:ascii="Times New Roman" w:hAnsi="Times New Roman"/>
          <w:sz w:val="24"/>
          <w:szCs w:val="24"/>
        </w:rPr>
        <w:t xml:space="preserve"> εξαρτάται από το είδος τουρισμού και τις τουριστικές καταναλω</w:t>
      </w:r>
      <w:r w:rsidR="00F93522">
        <w:rPr>
          <w:rFonts w:ascii="Times New Roman" w:hAnsi="Times New Roman"/>
          <w:sz w:val="24"/>
          <w:szCs w:val="24"/>
        </w:rPr>
        <w:t xml:space="preserve">τικές συνήθειες. Για μία ακόμη </w:t>
      </w:r>
      <w:r w:rsidRPr="00BE6DB9">
        <w:rPr>
          <w:rFonts w:ascii="Times New Roman" w:hAnsi="Times New Roman"/>
          <w:sz w:val="24"/>
          <w:szCs w:val="24"/>
        </w:rPr>
        <w:t xml:space="preserve">φορά, </w:t>
      </w:r>
      <w:r w:rsidRPr="00BE6DB9">
        <w:rPr>
          <w:rFonts w:ascii="Times New Roman" w:hAnsi="Times New Roman"/>
          <w:sz w:val="24"/>
          <w:szCs w:val="24"/>
        </w:rPr>
        <w:lastRenderedPageBreak/>
        <w:t>επιβεβαιώνεται ότι η αύξηση των τουριστών δεν μεταφράζεται απαραίτητα σε αυξημένα έσοδα για τον κλάδο του εμπορίου.</w:t>
      </w:r>
    </w:p>
    <w:p w:rsidR="00DF6337" w:rsidRPr="00DE628D" w:rsidRDefault="007C4C09" w:rsidP="00DE628D">
      <w:pPr>
        <w:pStyle w:val="ae"/>
        <w:numPr>
          <w:ilvl w:val="0"/>
          <w:numId w:val="25"/>
        </w:numPr>
        <w:spacing w:line="276" w:lineRule="auto"/>
        <w:jc w:val="both"/>
        <w:rPr>
          <w:rFonts w:ascii="Times New Roman" w:hAnsi="Times New Roman"/>
          <w:sz w:val="24"/>
          <w:szCs w:val="24"/>
        </w:rPr>
      </w:pPr>
      <w:r w:rsidRPr="007C4C09">
        <w:rPr>
          <w:rFonts w:ascii="Times New Roman" w:hAnsi="Times New Roman"/>
          <w:b/>
          <w:sz w:val="24"/>
          <w:szCs w:val="24"/>
        </w:rPr>
        <w:t>Οι επιχειρήσεις που ακόμα έχουν το περιθώριο</w:t>
      </w:r>
      <w:r w:rsidRPr="007C4C09">
        <w:rPr>
          <w:rFonts w:ascii="Times New Roman" w:hAnsi="Times New Roman"/>
          <w:sz w:val="24"/>
          <w:szCs w:val="24"/>
        </w:rPr>
        <w:t xml:space="preserve"> να προβούν</w:t>
      </w:r>
      <w:r>
        <w:rPr>
          <w:rFonts w:ascii="Times New Roman" w:hAnsi="Times New Roman"/>
          <w:sz w:val="24"/>
          <w:szCs w:val="24"/>
        </w:rPr>
        <w:t xml:space="preserve"> σε αγορές εμπορευμάτων και να </w:t>
      </w:r>
      <w:r w:rsidRPr="007C4C09">
        <w:rPr>
          <w:rFonts w:ascii="Times New Roman" w:hAnsi="Times New Roman"/>
          <w:b/>
          <w:sz w:val="24"/>
          <w:szCs w:val="24"/>
        </w:rPr>
        <w:t>προσφέρουν στους καταναλωτές ποικιλία</w:t>
      </w:r>
      <w:r>
        <w:rPr>
          <w:rFonts w:ascii="Times New Roman" w:hAnsi="Times New Roman"/>
          <w:sz w:val="24"/>
          <w:szCs w:val="24"/>
        </w:rPr>
        <w:t xml:space="preserve"> επιλογών </w:t>
      </w:r>
      <w:r w:rsidRPr="007C4C09">
        <w:rPr>
          <w:rFonts w:ascii="Times New Roman" w:hAnsi="Times New Roman"/>
          <w:b/>
          <w:sz w:val="24"/>
          <w:szCs w:val="24"/>
        </w:rPr>
        <w:t>κινήθηκαν ανταγωνιστικότερα</w:t>
      </w:r>
      <w:r>
        <w:rPr>
          <w:rFonts w:ascii="Times New Roman" w:hAnsi="Times New Roman"/>
          <w:sz w:val="24"/>
          <w:szCs w:val="24"/>
        </w:rPr>
        <w:t xml:space="preserve"> και μπόρεσαν να προσελκύσουν τόσο την εγχώρια ζήτηση όσο και τους τουρίστες. </w:t>
      </w:r>
    </w:p>
    <w:p w:rsidR="00A459C6" w:rsidRPr="00DE628D" w:rsidRDefault="00F93522" w:rsidP="00A459C6">
      <w:pPr>
        <w:pStyle w:val="ae"/>
        <w:numPr>
          <w:ilvl w:val="0"/>
          <w:numId w:val="25"/>
        </w:numPr>
        <w:spacing w:line="276" w:lineRule="auto"/>
        <w:jc w:val="both"/>
        <w:rPr>
          <w:rFonts w:ascii="Times New Roman" w:hAnsi="Times New Roman"/>
          <w:sz w:val="24"/>
          <w:szCs w:val="24"/>
        </w:rPr>
      </w:pPr>
      <w:r>
        <w:rPr>
          <w:rFonts w:ascii="Times New Roman" w:hAnsi="Times New Roman"/>
          <w:b/>
          <w:sz w:val="24"/>
          <w:szCs w:val="24"/>
        </w:rPr>
        <w:t>Οι επιχειρήσεις</w:t>
      </w:r>
      <w:r w:rsidR="007C4C09">
        <w:rPr>
          <w:rFonts w:ascii="Times New Roman" w:hAnsi="Times New Roman"/>
          <w:b/>
          <w:sz w:val="24"/>
          <w:szCs w:val="24"/>
        </w:rPr>
        <w:t xml:space="preserve"> των ΑΚΕ, στο βαθμό που είναι εγκατεστημένες σε κεντρικές εμπορικές αγορές λόγω της φύσης του θεσμού των </w:t>
      </w:r>
      <w:r w:rsidR="007C4C09">
        <w:rPr>
          <w:rFonts w:ascii="Times New Roman" w:hAnsi="Times New Roman"/>
          <w:b/>
          <w:sz w:val="24"/>
          <w:szCs w:val="24"/>
          <w:lang w:val="en-US"/>
        </w:rPr>
        <w:t>Open</w:t>
      </w:r>
      <w:r w:rsidR="007C4C09" w:rsidRPr="007C4C09">
        <w:rPr>
          <w:rFonts w:ascii="Times New Roman" w:hAnsi="Times New Roman"/>
          <w:b/>
          <w:sz w:val="24"/>
          <w:szCs w:val="24"/>
        </w:rPr>
        <w:t xml:space="preserve"> </w:t>
      </w:r>
      <w:r w:rsidR="007C4C09">
        <w:rPr>
          <w:rFonts w:ascii="Times New Roman" w:hAnsi="Times New Roman"/>
          <w:b/>
          <w:sz w:val="24"/>
          <w:szCs w:val="24"/>
          <w:lang w:val="en-US"/>
        </w:rPr>
        <w:t>mall</w:t>
      </w:r>
      <w:r w:rsidR="007C4C09" w:rsidRPr="007C4C09">
        <w:rPr>
          <w:rFonts w:ascii="Times New Roman" w:hAnsi="Times New Roman"/>
          <w:b/>
          <w:sz w:val="24"/>
          <w:szCs w:val="24"/>
        </w:rPr>
        <w:t xml:space="preserve">, </w:t>
      </w:r>
      <w:r>
        <w:rPr>
          <w:rFonts w:ascii="Times New Roman" w:hAnsi="Times New Roman"/>
          <w:b/>
          <w:sz w:val="24"/>
          <w:szCs w:val="24"/>
        </w:rPr>
        <w:t>είχαν καλύτερες</w:t>
      </w:r>
      <w:r w:rsidR="007C4C09">
        <w:rPr>
          <w:rFonts w:ascii="Times New Roman" w:hAnsi="Times New Roman"/>
          <w:b/>
          <w:sz w:val="24"/>
          <w:szCs w:val="24"/>
        </w:rPr>
        <w:t xml:space="preserve"> επιδόσεις στις θερινές εκπτώσεις σε σύγκριση με τις υπόλοιπες εμπορικές επιχειρήσεις. </w:t>
      </w:r>
    </w:p>
    <w:p w:rsidR="00A459C6" w:rsidRDefault="00A459C6" w:rsidP="00A459C6">
      <w:pPr>
        <w:pStyle w:val="ae"/>
        <w:rPr>
          <w:rFonts w:ascii="Times New Roman" w:hAnsi="Times New Roman"/>
          <w:b/>
          <w:i/>
          <w:sz w:val="24"/>
          <w:szCs w:val="24"/>
          <w:u w:val="single"/>
        </w:rPr>
      </w:pPr>
    </w:p>
    <w:p w:rsidR="009F45FD" w:rsidRDefault="009F45FD" w:rsidP="00A459C6">
      <w:pPr>
        <w:pStyle w:val="ae"/>
        <w:rPr>
          <w:rFonts w:ascii="Times New Roman" w:hAnsi="Times New Roman"/>
          <w:b/>
          <w:i/>
          <w:sz w:val="24"/>
          <w:szCs w:val="24"/>
          <w:u w:val="single"/>
        </w:rPr>
      </w:pPr>
    </w:p>
    <w:p w:rsidR="009F45FD" w:rsidRPr="00C75ED4" w:rsidRDefault="009F45FD" w:rsidP="009F45FD">
      <w:pPr>
        <w:pStyle w:val="p2"/>
        <w:spacing w:before="120"/>
        <w:rPr>
          <w:rStyle w:val="s1"/>
          <w:rFonts w:ascii="Times New Roman" w:hAnsi="Times New Roman"/>
          <w:b/>
          <w:sz w:val="24"/>
          <w:szCs w:val="24"/>
        </w:rPr>
      </w:pPr>
      <w:r w:rsidRPr="00C75ED4">
        <w:rPr>
          <w:rStyle w:val="s1"/>
          <w:rFonts w:ascii="Times New Roman" w:hAnsi="Times New Roman"/>
          <w:b/>
          <w:sz w:val="24"/>
          <w:szCs w:val="24"/>
        </w:rPr>
        <w:t>Ο πρόεδρος της ΕΣΕΕ, κ. Βασίλης Κορκίδης δήλωσε τα εξής:</w:t>
      </w:r>
    </w:p>
    <w:p w:rsidR="009F45FD" w:rsidRPr="005E767F" w:rsidRDefault="009F45FD" w:rsidP="009F45FD">
      <w:pPr>
        <w:pStyle w:val="p2"/>
        <w:spacing w:before="120"/>
        <w:rPr>
          <w:rFonts w:ascii="Times New Roman" w:hAnsi="Times New Roman"/>
          <w:sz w:val="25"/>
          <w:szCs w:val="25"/>
        </w:rPr>
      </w:pPr>
    </w:p>
    <w:p w:rsidR="009F45FD" w:rsidRDefault="009F45FD" w:rsidP="009F45FD">
      <w:pPr>
        <w:pStyle w:val="p1"/>
        <w:spacing w:line="276" w:lineRule="auto"/>
        <w:jc w:val="both"/>
        <w:rPr>
          <w:rStyle w:val="s1"/>
          <w:rFonts w:ascii="Times New Roman" w:hAnsi="Times New Roman"/>
          <w:color w:val="auto"/>
          <w:sz w:val="25"/>
          <w:szCs w:val="25"/>
        </w:rPr>
      </w:pPr>
      <w:r w:rsidRPr="00A81AD3">
        <w:rPr>
          <w:rStyle w:val="s1"/>
          <w:rFonts w:ascii="Times New Roman" w:hAnsi="Times New Roman"/>
          <w:color w:val="auto"/>
          <w:sz w:val="25"/>
          <w:szCs w:val="25"/>
        </w:rPr>
        <w:t>«</w:t>
      </w:r>
      <w:r w:rsidRPr="00A81AD3">
        <w:rPr>
          <w:rStyle w:val="s1"/>
          <w:rFonts w:ascii="Times New Roman" w:hAnsi="Times New Roman"/>
          <w:i/>
          <w:color w:val="auto"/>
          <w:sz w:val="25"/>
          <w:szCs w:val="25"/>
        </w:rPr>
        <w:t>Η φετι</w:t>
      </w:r>
      <w:r>
        <w:rPr>
          <w:rStyle w:val="s1"/>
          <w:rFonts w:ascii="Times New Roman" w:hAnsi="Times New Roman"/>
          <w:i/>
          <w:color w:val="auto"/>
          <w:sz w:val="25"/>
          <w:szCs w:val="25"/>
        </w:rPr>
        <w:t xml:space="preserve">νή θερινή εκπτωτική περίοδος, παρουσίασε σημαντικές αποκλίσεις </w:t>
      </w:r>
      <w:r w:rsidRPr="00A81AD3">
        <w:rPr>
          <w:rStyle w:val="s1"/>
          <w:rFonts w:ascii="Times New Roman" w:hAnsi="Times New Roman"/>
          <w:i/>
          <w:color w:val="auto"/>
          <w:sz w:val="25"/>
          <w:szCs w:val="25"/>
        </w:rPr>
        <w:t xml:space="preserve"> </w:t>
      </w:r>
      <w:r>
        <w:rPr>
          <w:rStyle w:val="s1"/>
          <w:rFonts w:ascii="Times New Roman" w:hAnsi="Times New Roman"/>
          <w:i/>
          <w:color w:val="auto"/>
          <w:sz w:val="25"/>
          <w:szCs w:val="25"/>
        </w:rPr>
        <w:t xml:space="preserve">μεταξύ των εμπορικών επιχειρήσεων ανάλογα με το εμπόρευμα στα ράφια τους και τη θέση τους. </w:t>
      </w:r>
      <w:r w:rsidRPr="00A81AD3">
        <w:rPr>
          <w:rStyle w:val="s1"/>
          <w:rFonts w:ascii="Times New Roman" w:hAnsi="Times New Roman"/>
          <w:i/>
          <w:color w:val="auto"/>
          <w:sz w:val="25"/>
          <w:szCs w:val="25"/>
        </w:rPr>
        <w:t xml:space="preserve">Για </w:t>
      </w:r>
      <w:r>
        <w:rPr>
          <w:rStyle w:val="s1"/>
          <w:rFonts w:ascii="Times New Roman" w:hAnsi="Times New Roman"/>
          <w:i/>
          <w:color w:val="auto"/>
          <w:sz w:val="25"/>
          <w:szCs w:val="25"/>
        </w:rPr>
        <w:t>άλλη μια χρονιά</w:t>
      </w:r>
      <w:r w:rsidRPr="00A81AD3">
        <w:rPr>
          <w:rStyle w:val="s1"/>
          <w:rFonts w:ascii="Times New Roman" w:hAnsi="Times New Roman"/>
          <w:i/>
          <w:color w:val="auto"/>
          <w:sz w:val="25"/>
          <w:szCs w:val="25"/>
        </w:rPr>
        <w:t xml:space="preserve"> επιβεβαιώνεται ότι ο αυξημένος τουρισμός σε επίπεδο αφίξεων δεν αντιστοιχεί απαραίτητα σε ενίσχυση του τζίρου των επιχειρήσεων – ιδίως των εμπορικών -  ακόμα και στις απόλυτα τουριστικές περιοχές. Η αυξημένη τουριστική κίνηση αν και βελτίωσε τις επιδόσεις </w:t>
      </w:r>
      <w:r w:rsidR="00573EE5">
        <w:rPr>
          <w:rStyle w:val="s1"/>
          <w:rFonts w:ascii="Times New Roman" w:hAnsi="Times New Roman"/>
          <w:i/>
          <w:color w:val="auto"/>
          <w:sz w:val="25"/>
          <w:szCs w:val="25"/>
        </w:rPr>
        <w:t xml:space="preserve">ορισμένων </w:t>
      </w:r>
      <w:r w:rsidRPr="00A81AD3">
        <w:rPr>
          <w:rStyle w:val="s1"/>
          <w:rFonts w:ascii="Times New Roman" w:hAnsi="Times New Roman"/>
          <w:i/>
          <w:color w:val="auto"/>
          <w:sz w:val="25"/>
          <w:szCs w:val="25"/>
        </w:rPr>
        <w:t>εμπορικών επιχειρήσεων</w:t>
      </w:r>
      <w:r w:rsidR="00573EE5">
        <w:rPr>
          <w:rStyle w:val="s1"/>
          <w:rFonts w:ascii="Times New Roman" w:hAnsi="Times New Roman"/>
          <w:i/>
          <w:color w:val="auto"/>
          <w:sz w:val="25"/>
          <w:szCs w:val="25"/>
        </w:rPr>
        <w:t>,</w:t>
      </w:r>
      <w:r w:rsidRPr="00A81AD3">
        <w:rPr>
          <w:rStyle w:val="s1"/>
          <w:rFonts w:ascii="Times New Roman" w:hAnsi="Times New Roman"/>
          <w:i/>
          <w:color w:val="auto"/>
          <w:sz w:val="25"/>
          <w:szCs w:val="25"/>
        </w:rPr>
        <w:t xml:space="preserve"> δεν κατάφερε να αποφέρει τα αναμενόμενα έσοδα στον κλάδο </w:t>
      </w:r>
      <w:r>
        <w:rPr>
          <w:rStyle w:val="s1"/>
          <w:rFonts w:ascii="Times New Roman" w:hAnsi="Times New Roman"/>
          <w:i/>
          <w:color w:val="auto"/>
          <w:sz w:val="25"/>
          <w:szCs w:val="25"/>
        </w:rPr>
        <w:t>αλλά απλά</w:t>
      </w:r>
      <w:r w:rsidRPr="00A81AD3">
        <w:rPr>
          <w:rStyle w:val="s1"/>
          <w:rFonts w:ascii="Times New Roman" w:hAnsi="Times New Roman"/>
          <w:i/>
          <w:color w:val="auto"/>
          <w:sz w:val="25"/>
          <w:szCs w:val="25"/>
        </w:rPr>
        <w:t xml:space="preserve"> να τονώσει τον τζίρο στις περιοχές υψηλής επισκεψιμότητας. Τα αποτελέσματα της έρευνας του ΙΝΕΜΥ της ΕΣΕΕ, κατέγραψαν </w:t>
      </w:r>
      <w:r>
        <w:rPr>
          <w:rStyle w:val="s1"/>
          <w:rFonts w:ascii="Times New Roman" w:hAnsi="Times New Roman"/>
          <w:i/>
          <w:color w:val="auto"/>
          <w:sz w:val="25"/>
          <w:szCs w:val="25"/>
        </w:rPr>
        <w:t>αυξομειώσεις του τζίρου και</w:t>
      </w:r>
      <w:r w:rsidRPr="00A81AD3">
        <w:rPr>
          <w:rStyle w:val="s1"/>
          <w:rFonts w:ascii="Times New Roman" w:hAnsi="Times New Roman"/>
          <w:i/>
          <w:color w:val="auto"/>
          <w:sz w:val="25"/>
          <w:szCs w:val="25"/>
        </w:rPr>
        <w:t xml:space="preserve"> </w:t>
      </w:r>
      <w:r>
        <w:rPr>
          <w:rStyle w:val="s1"/>
          <w:rFonts w:ascii="Times New Roman" w:hAnsi="Times New Roman"/>
          <w:i/>
          <w:color w:val="auto"/>
          <w:sz w:val="25"/>
          <w:szCs w:val="25"/>
        </w:rPr>
        <w:t>επιβεβαίωσαν</w:t>
      </w:r>
      <w:r w:rsidRPr="00A81AD3">
        <w:rPr>
          <w:rStyle w:val="s1"/>
          <w:rFonts w:ascii="Times New Roman" w:hAnsi="Times New Roman"/>
          <w:i/>
          <w:color w:val="auto"/>
          <w:sz w:val="25"/>
          <w:szCs w:val="25"/>
        </w:rPr>
        <w:t xml:space="preserve"> ότι οι φετινές καλοκαιρινές εκπτώσεις </w:t>
      </w:r>
      <w:r>
        <w:rPr>
          <w:rStyle w:val="s1"/>
          <w:rFonts w:ascii="Times New Roman" w:hAnsi="Times New Roman"/>
          <w:i/>
          <w:color w:val="auto"/>
          <w:sz w:val="25"/>
          <w:szCs w:val="25"/>
        </w:rPr>
        <w:t xml:space="preserve">μπορεί να </w:t>
      </w:r>
      <w:r w:rsidRPr="00A81AD3">
        <w:rPr>
          <w:rStyle w:val="s1"/>
          <w:rFonts w:ascii="Times New Roman" w:hAnsi="Times New Roman"/>
          <w:i/>
          <w:color w:val="auto"/>
          <w:sz w:val="25"/>
          <w:szCs w:val="25"/>
        </w:rPr>
        <w:t xml:space="preserve"> βοήθησαν </w:t>
      </w:r>
      <w:r>
        <w:rPr>
          <w:rStyle w:val="s1"/>
          <w:rFonts w:ascii="Times New Roman" w:hAnsi="Times New Roman"/>
          <w:i/>
          <w:color w:val="auto"/>
          <w:sz w:val="25"/>
          <w:szCs w:val="25"/>
        </w:rPr>
        <w:t xml:space="preserve">αλλά σίγουρα δεν έσωσαν </w:t>
      </w:r>
      <w:r w:rsidRPr="00A81AD3">
        <w:rPr>
          <w:rStyle w:val="s1"/>
          <w:rFonts w:ascii="Times New Roman" w:hAnsi="Times New Roman"/>
          <w:i/>
          <w:color w:val="auto"/>
          <w:sz w:val="25"/>
          <w:szCs w:val="25"/>
        </w:rPr>
        <w:t>τις μικρομεσαίες εμπορικές επιχειρήσεις.</w:t>
      </w:r>
      <w:r w:rsidRPr="00A81AD3">
        <w:rPr>
          <w:rStyle w:val="s1"/>
          <w:rFonts w:ascii="Times New Roman" w:hAnsi="Times New Roman"/>
          <w:color w:val="auto"/>
          <w:sz w:val="25"/>
          <w:szCs w:val="25"/>
        </w:rPr>
        <w:t>»</w:t>
      </w:r>
    </w:p>
    <w:p w:rsidR="009F45FD" w:rsidRDefault="009F45FD" w:rsidP="009F45FD">
      <w:pPr>
        <w:pStyle w:val="p1"/>
        <w:spacing w:line="276" w:lineRule="auto"/>
        <w:jc w:val="both"/>
        <w:rPr>
          <w:rStyle w:val="s1"/>
          <w:rFonts w:ascii="Times New Roman" w:hAnsi="Times New Roman"/>
          <w:color w:val="auto"/>
          <w:sz w:val="25"/>
          <w:szCs w:val="25"/>
        </w:rPr>
      </w:pPr>
    </w:p>
    <w:p w:rsidR="009F45FD" w:rsidRDefault="009F45FD" w:rsidP="009F45FD">
      <w:pPr>
        <w:pStyle w:val="p1"/>
        <w:spacing w:line="276" w:lineRule="auto"/>
        <w:jc w:val="both"/>
        <w:rPr>
          <w:rStyle w:val="s1"/>
          <w:rFonts w:ascii="Times New Roman" w:hAnsi="Times New Roman"/>
          <w:color w:val="auto"/>
          <w:sz w:val="25"/>
          <w:szCs w:val="25"/>
        </w:rPr>
      </w:pPr>
    </w:p>
    <w:p w:rsidR="009F45FD" w:rsidRDefault="009F45FD" w:rsidP="009F45FD">
      <w:pPr>
        <w:pStyle w:val="p1"/>
        <w:spacing w:line="276" w:lineRule="auto"/>
        <w:jc w:val="both"/>
        <w:rPr>
          <w:rStyle w:val="s1"/>
          <w:rFonts w:ascii="Times New Roman" w:hAnsi="Times New Roman"/>
          <w:color w:val="auto"/>
          <w:sz w:val="25"/>
          <w:szCs w:val="25"/>
        </w:rPr>
      </w:pPr>
    </w:p>
    <w:p w:rsidR="009F45FD" w:rsidRDefault="009F45FD" w:rsidP="009F45FD">
      <w:pPr>
        <w:pStyle w:val="p1"/>
        <w:spacing w:line="276" w:lineRule="auto"/>
        <w:jc w:val="both"/>
        <w:rPr>
          <w:rStyle w:val="s1"/>
          <w:rFonts w:ascii="Times New Roman" w:hAnsi="Times New Roman"/>
          <w:color w:val="auto"/>
          <w:sz w:val="25"/>
          <w:szCs w:val="25"/>
        </w:rPr>
      </w:pPr>
    </w:p>
    <w:p w:rsidR="009F45FD" w:rsidRDefault="009F45FD" w:rsidP="009F45FD">
      <w:pPr>
        <w:pStyle w:val="p1"/>
        <w:spacing w:line="276" w:lineRule="auto"/>
        <w:jc w:val="both"/>
        <w:rPr>
          <w:rStyle w:val="s1"/>
          <w:rFonts w:ascii="Times New Roman" w:hAnsi="Times New Roman"/>
          <w:color w:val="auto"/>
          <w:sz w:val="25"/>
          <w:szCs w:val="25"/>
        </w:rPr>
      </w:pPr>
    </w:p>
    <w:p w:rsidR="009F45FD" w:rsidRDefault="009F45FD" w:rsidP="009F45FD">
      <w:pPr>
        <w:pStyle w:val="p1"/>
        <w:spacing w:line="276" w:lineRule="auto"/>
        <w:jc w:val="both"/>
        <w:rPr>
          <w:rStyle w:val="s1"/>
          <w:rFonts w:ascii="Times New Roman" w:hAnsi="Times New Roman"/>
          <w:color w:val="auto"/>
          <w:sz w:val="25"/>
          <w:szCs w:val="25"/>
        </w:rPr>
      </w:pPr>
    </w:p>
    <w:p w:rsidR="009F45FD" w:rsidRDefault="009F45FD" w:rsidP="009F45FD">
      <w:pPr>
        <w:pStyle w:val="p1"/>
        <w:spacing w:line="276" w:lineRule="auto"/>
        <w:jc w:val="both"/>
        <w:rPr>
          <w:rStyle w:val="s1"/>
          <w:rFonts w:ascii="Times New Roman" w:hAnsi="Times New Roman"/>
          <w:color w:val="auto"/>
          <w:sz w:val="25"/>
          <w:szCs w:val="25"/>
        </w:rPr>
      </w:pPr>
    </w:p>
    <w:p w:rsidR="009F45FD" w:rsidRDefault="009F45FD" w:rsidP="009F45FD">
      <w:pPr>
        <w:pStyle w:val="p1"/>
        <w:spacing w:line="276" w:lineRule="auto"/>
        <w:jc w:val="both"/>
        <w:rPr>
          <w:rStyle w:val="s1"/>
          <w:rFonts w:ascii="Times New Roman" w:hAnsi="Times New Roman"/>
          <w:color w:val="auto"/>
          <w:sz w:val="25"/>
          <w:szCs w:val="25"/>
        </w:rPr>
      </w:pPr>
    </w:p>
    <w:p w:rsidR="009F45FD" w:rsidRDefault="009F45FD" w:rsidP="009F45FD">
      <w:pPr>
        <w:pStyle w:val="p1"/>
        <w:spacing w:line="276" w:lineRule="auto"/>
        <w:jc w:val="both"/>
        <w:rPr>
          <w:rStyle w:val="s1"/>
          <w:rFonts w:ascii="Times New Roman" w:hAnsi="Times New Roman"/>
          <w:color w:val="auto"/>
          <w:sz w:val="25"/>
          <w:szCs w:val="25"/>
        </w:rPr>
      </w:pPr>
    </w:p>
    <w:p w:rsidR="009F45FD" w:rsidRDefault="009F45FD" w:rsidP="009F45FD">
      <w:pPr>
        <w:pStyle w:val="p1"/>
        <w:spacing w:line="276" w:lineRule="auto"/>
        <w:jc w:val="both"/>
        <w:rPr>
          <w:rStyle w:val="s1"/>
          <w:rFonts w:ascii="Times New Roman" w:hAnsi="Times New Roman"/>
          <w:color w:val="auto"/>
          <w:sz w:val="25"/>
          <w:szCs w:val="25"/>
        </w:rPr>
      </w:pPr>
    </w:p>
    <w:p w:rsidR="009F45FD" w:rsidRDefault="009F45FD" w:rsidP="009F45FD">
      <w:pPr>
        <w:pStyle w:val="p1"/>
        <w:spacing w:line="276" w:lineRule="auto"/>
        <w:jc w:val="both"/>
        <w:rPr>
          <w:rStyle w:val="s1"/>
          <w:rFonts w:ascii="Times New Roman" w:hAnsi="Times New Roman"/>
          <w:color w:val="auto"/>
          <w:sz w:val="25"/>
          <w:szCs w:val="25"/>
        </w:rPr>
      </w:pPr>
    </w:p>
    <w:p w:rsidR="009F45FD" w:rsidRDefault="009F45FD" w:rsidP="00A459C6">
      <w:pPr>
        <w:pStyle w:val="ae"/>
        <w:rPr>
          <w:rFonts w:ascii="Times New Roman" w:hAnsi="Times New Roman"/>
          <w:b/>
          <w:i/>
          <w:sz w:val="24"/>
          <w:szCs w:val="24"/>
          <w:u w:val="single"/>
        </w:rPr>
      </w:pPr>
    </w:p>
    <w:p w:rsidR="009F45FD" w:rsidRDefault="009F45FD" w:rsidP="00A459C6">
      <w:pPr>
        <w:pStyle w:val="ae"/>
        <w:rPr>
          <w:rFonts w:ascii="Times New Roman" w:hAnsi="Times New Roman"/>
          <w:b/>
          <w:i/>
          <w:sz w:val="24"/>
          <w:szCs w:val="24"/>
          <w:u w:val="single"/>
        </w:rPr>
      </w:pPr>
    </w:p>
    <w:p w:rsidR="009F45FD" w:rsidRDefault="009F45FD" w:rsidP="00A459C6">
      <w:pPr>
        <w:pStyle w:val="ae"/>
        <w:rPr>
          <w:rFonts w:ascii="Times New Roman" w:hAnsi="Times New Roman"/>
          <w:b/>
          <w:i/>
          <w:sz w:val="24"/>
          <w:szCs w:val="24"/>
          <w:u w:val="single"/>
        </w:rPr>
      </w:pPr>
    </w:p>
    <w:p w:rsidR="009F45FD" w:rsidRDefault="009F45FD" w:rsidP="00A459C6">
      <w:pPr>
        <w:pStyle w:val="ae"/>
        <w:rPr>
          <w:rFonts w:ascii="Times New Roman" w:hAnsi="Times New Roman"/>
          <w:b/>
          <w:i/>
          <w:sz w:val="24"/>
          <w:szCs w:val="24"/>
          <w:u w:val="single"/>
        </w:rPr>
      </w:pPr>
    </w:p>
    <w:p w:rsidR="00C16793" w:rsidRDefault="00C16793" w:rsidP="00A459C6">
      <w:pPr>
        <w:pStyle w:val="ae"/>
        <w:rPr>
          <w:rFonts w:ascii="Times New Roman" w:hAnsi="Times New Roman"/>
          <w:b/>
          <w:i/>
          <w:sz w:val="24"/>
          <w:szCs w:val="24"/>
          <w:u w:val="single"/>
        </w:rPr>
      </w:pPr>
    </w:p>
    <w:p w:rsidR="00C16793" w:rsidRDefault="00C16793" w:rsidP="00A459C6">
      <w:pPr>
        <w:pStyle w:val="ae"/>
        <w:rPr>
          <w:rFonts w:ascii="Times New Roman" w:hAnsi="Times New Roman"/>
          <w:b/>
          <w:i/>
          <w:sz w:val="24"/>
          <w:szCs w:val="24"/>
          <w:u w:val="single"/>
        </w:rPr>
      </w:pPr>
    </w:p>
    <w:p w:rsidR="00C16793" w:rsidRDefault="00C16793" w:rsidP="00A459C6">
      <w:pPr>
        <w:pStyle w:val="ae"/>
        <w:rPr>
          <w:rFonts w:ascii="Times New Roman" w:hAnsi="Times New Roman"/>
          <w:b/>
          <w:i/>
          <w:sz w:val="24"/>
          <w:szCs w:val="24"/>
          <w:u w:val="single"/>
        </w:rPr>
      </w:pPr>
    </w:p>
    <w:p w:rsidR="00C16793" w:rsidRDefault="00C16793" w:rsidP="00A459C6">
      <w:pPr>
        <w:pStyle w:val="ae"/>
        <w:rPr>
          <w:rFonts w:ascii="Times New Roman" w:hAnsi="Times New Roman"/>
          <w:b/>
          <w:i/>
          <w:sz w:val="24"/>
          <w:szCs w:val="24"/>
          <w:u w:val="single"/>
        </w:rPr>
      </w:pPr>
    </w:p>
    <w:p w:rsidR="00C16793" w:rsidRDefault="00C16793" w:rsidP="00A459C6">
      <w:pPr>
        <w:pStyle w:val="ae"/>
        <w:rPr>
          <w:rFonts w:ascii="Times New Roman" w:hAnsi="Times New Roman"/>
          <w:b/>
          <w:i/>
          <w:sz w:val="24"/>
          <w:szCs w:val="24"/>
          <w:u w:val="single"/>
        </w:rPr>
      </w:pPr>
    </w:p>
    <w:p w:rsidR="009F45FD" w:rsidRDefault="009F45FD" w:rsidP="00A459C6">
      <w:pPr>
        <w:pStyle w:val="ae"/>
        <w:rPr>
          <w:rFonts w:ascii="Times New Roman" w:hAnsi="Times New Roman"/>
          <w:b/>
          <w:i/>
          <w:sz w:val="24"/>
          <w:szCs w:val="24"/>
          <w:u w:val="single"/>
        </w:rPr>
      </w:pPr>
    </w:p>
    <w:p w:rsidR="009F45FD" w:rsidRDefault="009F45FD" w:rsidP="00A459C6">
      <w:pPr>
        <w:pStyle w:val="ae"/>
        <w:rPr>
          <w:rFonts w:ascii="Times New Roman" w:hAnsi="Times New Roman"/>
          <w:b/>
          <w:i/>
          <w:sz w:val="24"/>
          <w:szCs w:val="24"/>
          <w:u w:val="single"/>
        </w:rPr>
      </w:pPr>
    </w:p>
    <w:p w:rsidR="004A75ED" w:rsidRPr="005A7FB4" w:rsidRDefault="00A459C6" w:rsidP="00A459C6">
      <w:pPr>
        <w:pStyle w:val="ae"/>
        <w:rPr>
          <w:rFonts w:ascii="Times New Roman" w:hAnsi="Times New Roman"/>
          <w:b/>
          <w:i/>
          <w:sz w:val="24"/>
          <w:szCs w:val="24"/>
          <w:u w:val="single"/>
        </w:rPr>
      </w:pPr>
      <w:r>
        <w:rPr>
          <w:rFonts w:ascii="Times New Roman" w:hAnsi="Times New Roman"/>
          <w:b/>
          <w:i/>
          <w:sz w:val="24"/>
          <w:szCs w:val="24"/>
          <w:u w:val="single"/>
        </w:rPr>
        <w:lastRenderedPageBreak/>
        <w:t>Τα α</w:t>
      </w:r>
      <w:r w:rsidR="005A7FB4">
        <w:rPr>
          <w:rFonts w:ascii="Times New Roman" w:hAnsi="Times New Roman"/>
          <w:b/>
          <w:i/>
          <w:sz w:val="24"/>
          <w:szCs w:val="24"/>
          <w:u w:val="single"/>
        </w:rPr>
        <w:t>ποτελέσματα των θερινών εκπτώσεων</w:t>
      </w:r>
    </w:p>
    <w:p w:rsidR="005A7FB4" w:rsidRDefault="00C30346" w:rsidP="005A7FB4">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Όπως προκύπτει από τα αποτελέσματα της έρευνας που πραγματοποιεί σε ετήσια βάση το ΙΝΕΜΥ-ΕΣΕΕ, </w:t>
      </w:r>
      <w:r w:rsidR="007F2CB1">
        <w:rPr>
          <w:rFonts w:ascii="Times New Roman" w:hAnsi="Times New Roman" w:cs="Times New Roman"/>
          <w:sz w:val="24"/>
          <w:szCs w:val="24"/>
        </w:rPr>
        <w:t xml:space="preserve">ο κύκλος εργασιών κατά τη διάρκεια των θερινών εκπτώσεων δεν ήταν ο αναμενόμενος, ιδιαίτερα μετά από έναν πολύ καλό Ιούνιο. </w:t>
      </w:r>
      <w:r w:rsidR="00CD1521">
        <w:rPr>
          <w:rFonts w:ascii="Times New Roman" w:hAnsi="Times New Roman" w:cs="Times New Roman"/>
          <w:sz w:val="24"/>
          <w:szCs w:val="24"/>
        </w:rPr>
        <w:t>Παρ όλα αυτά, θα πρέπει να επισημανθεί η διαφορετική εικόνα ανάμεσα σε πολύ μικρές και μεγαλύτερες επιχειρήσεις και σε εκείνες που βρίσκονται κοντά σε τουριστικούς προορισμούς.</w:t>
      </w:r>
      <w:r w:rsidR="00242D90">
        <w:rPr>
          <w:rFonts w:ascii="Times New Roman" w:hAnsi="Times New Roman" w:cs="Times New Roman"/>
          <w:sz w:val="24"/>
          <w:szCs w:val="24"/>
        </w:rPr>
        <w:t xml:space="preserve"> </w:t>
      </w:r>
    </w:p>
    <w:p w:rsidR="005A7FB4" w:rsidRDefault="005A7FB4" w:rsidP="005A7FB4">
      <w:pPr>
        <w:spacing w:before="120" w:after="0"/>
        <w:jc w:val="both"/>
        <w:rPr>
          <w:rFonts w:ascii="Times New Roman" w:hAnsi="Times New Roman"/>
          <w:b/>
          <w:sz w:val="24"/>
          <w:szCs w:val="24"/>
        </w:rPr>
      </w:pPr>
    </w:p>
    <w:p w:rsidR="005A7FB4" w:rsidRPr="00A459C6" w:rsidRDefault="005A7FB4" w:rsidP="00A459C6">
      <w:pPr>
        <w:spacing w:before="120" w:after="0"/>
        <w:jc w:val="center"/>
        <w:rPr>
          <w:rFonts w:ascii="Times New Roman" w:hAnsi="Times New Roman"/>
          <w:b/>
          <w:sz w:val="24"/>
          <w:szCs w:val="24"/>
        </w:rPr>
      </w:pPr>
      <w:r w:rsidRPr="005A7FB4">
        <w:rPr>
          <w:rFonts w:ascii="Times New Roman" w:hAnsi="Times New Roman"/>
          <w:b/>
          <w:sz w:val="24"/>
          <w:szCs w:val="24"/>
        </w:rPr>
        <w:t>Ποσοστό έκπτωσης</w:t>
      </w:r>
    </w:p>
    <w:p w:rsidR="00FD66C7" w:rsidRPr="005A7FB4" w:rsidRDefault="005A7FB4" w:rsidP="00843996">
      <w:pPr>
        <w:pStyle w:val="ae"/>
        <w:jc w:val="center"/>
        <w:rPr>
          <w:rFonts w:ascii="Times New Roman" w:hAnsi="Times New Roman"/>
          <w:b/>
          <w:sz w:val="24"/>
          <w:szCs w:val="24"/>
        </w:rPr>
      </w:pPr>
      <w:r w:rsidRPr="00720ED3">
        <w:rPr>
          <w:rFonts w:ascii="Times New Roman" w:hAnsi="Times New Roman"/>
          <w:b/>
          <w:noProof/>
          <w:sz w:val="24"/>
          <w:szCs w:val="24"/>
          <w:bdr w:val="single" w:sz="4" w:space="0" w:color="auto"/>
        </w:rPr>
        <w:drawing>
          <wp:inline distT="0" distB="0" distL="0" distR="0">
            <wp:extent cx="4008120" cy="2590800"/>
            <wp:effectExtent l="0" t="0" r="0" b="0"/>
            <wp:docPr id="2"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7FB4" w:rsidRDefault="005A7FB4" w:rsidP="005E767F">
      <w:pPr>
        <w:jc w:val="both"/>
        <w:rPr>
          <w:rFonts w:ascii="Times New Roman" w:hAnsi="Times New Roman" w:cs="Times New Roman"/>
          <w:sz w:val="25"/>
          <w:szCs w:val="25"/>
        </w:rPr>
      </w:pPr>
    </w:p>
    <w:p w:rsidR="005E767F" w:rsidRPr="00BE6DB9" w:rsidRDefault="005E767F" w:rsidP="005E767F">
      <w:pPr>
        <w:jc w:val="both"/>
        <w:rPr>
          <w:rFonts w:ascii="Times New Roman" w:hAnsi="Times New Roman" w:cs="Times New Roman"/>
          <w:sz w:val="24"/>
          <w:szCs w:val="24"/>
        </w:rPr>
      </w:pPr>
      <w:r w:rsidRPr="00BE6DB9">
        <w:rPr>
          <w:rFonts w:ascii="Times New Roman" w:hAnsi="Times New Roman" w:cs="Times New Roman"/>
          <w:sz w:val="24"/>
          <w:szCs w:val="24"/>
        </w:rPr>
        <w:t xml:space="preserve">Περίπου μία στις δύο επιχειρήσεις, επέλεξε να διαμορφώσει το ποσοστό των εκπτώσεων μεταξύ 21% και 40%, μία στις πέντε πραγματοποίησε εκπτώσεις είτε της τάξης του 41%-50% είτε μεγαλύτερες του 50%. </w:t>
      </w:r>
      <w:r w:rsidRPr="00BE6DB9">
        <w:rPr>
          <w:rFonts w:ascii="Times New Roman" w:hAnsi="Times New Roman" w:cs="Times New Roman"/>
          <w:sz w:val="24"/>
          <w:szCs w:val="24"/>
          <w:u w:val="single"/>
        </w:rPr>
        <w:t>Να σημειωθεί ότι το ποσοστό των επιχειρήσεων που πραγματοποίησε εκπτώσεις άνω του 50% διπλασιάστηκε σε σύγκριση με την αντίστοιχη έρευνα για τις χειμερινές εκπτώσεις του 2017</w:t>
      </w:r>
      <w:r w:rsidRPr="00BE6DB9">
        <w:rPr>
          <w:rFonts w:ascii="Times New Roman" w:hAnsi="Times New Roman" w:cs="Times New Roman"/>
          <w:sz w:val="24"/>
          <w:szCs w:val="24"/>
        </w:rPr>
        <w:t>.</w:t>
      </w:r>
      <w:r w:rsidR="005A7FB4" w:rsidRPr="00BE6DB9">
        <w:rPr>
          <w:rFonts w:ascii="Times New Roman" w:hAnsi="Times New Roman" w:cs="Times New Roman"/>
          <w:sz w:val="24"/>
          <w:szCs w:val="24"/>
        </w:rPr>
        <w:t xml:space="preserve"> </w:t>
      </w:r>
      <w:r w:rsidRPr="00BE6DB9">
        <w:rPr>
          <w:rFonts w:ascii="Times New Roman" w:hAnsi="Times New Roman" w:cs="Times New Roman"/>
          <w:sz w:val="24"/>
          <w:szCs w:val="24"/>
        </w:rPr>
        <w:t xml:space="preserve">Για τις επιχειρήσεις που δραστηριοποιούνται στον κλάδο των ειδών ψυχαγωγίας και επιμορφωτικών ειδών παρατηρείται διαφοροποίηση στο ύψος των εκπτώσεων σε σύγκριση με τις υπόλοιπες επιχειρήσεις. Συγκεκριμένα το ποσοστό των επιχειρήσεων που πραγματοποίησε εκπτώσεις μεταξύ 21% και 40% είναι μεγαλύτερο κατά 20 ποσοστιαίες μονάδες.  </w:t>
      </w:r>
    </w:p>
    <w:p w:rsidR="00C16793" w:rsidRDefault="00C16793" w:rsidP="002A484A">
      <w:pPr>
        <w:jc w:val="center"/>
        <w:rPr>
          <w:rFonts w:ascii="Times New Roman" w:hAnsi="Times New Roman" w:cs="Times New Roman"/>
          <w:b/>
          <w:sz w:val="25"/>
          <w:szCs w:val="25"/>
        </w:rPr>
      </w:pPr>
    </w:p>
    <w:p w:rsidR="00C16793" w:rsidRDefault="00C16793" w:rsidP="002A484A">
      <w:pPr>
        <w:jc w:val="center"/>
        <w:rPr>
          <w:rFonts w:ascii="Times New Roman" w:hAnsi="Times New Roman" w:cs="Times New Roman"/>
          <w:b/>
          <w:sz w:val="25"/>
          <w:szCs w:val="25"/>
        </w:rPr>
      </w:pPr>
    </w:p>
    <w:p w:rsidR="00C16793" w:rsidRDefault="00C16793" w:rsidP="002A484A">
      <w:pPr>
        <w:jc w:val="center"/>
        <w:rPr>
          <w:rFonts w:ascii="Times New Roman" w:hAnsi="Times New Roman" w:cs="Times New Roman"/>
          <w:b/>
          <w:sz w:val="25"/>
          <w:szCs w:val="25"/>
        </w:rPr>
      </w:pPr>
    </w:p>
    <w:p w:rsidR="00C16793" w:rsidRDefault="00C16793" w:rsidP="002A484A">
      <w:pPr>
        <w:jc w:val="center"/>
        <w:rPr>
          <w:rFonts w:ascii="Times New Roman" w:hAnsi="Times New Roman" w:cs="Times New Roman"/>
          <w:b/>
          <w:sz w:val="25"/>
          <w:szCs w:val="25"/>
        </w:rPr>
      </w:pPr>
    </w:p>
    <w:p w:rsidR="00C16793" w:rsidRDefault="00C16793" w:rsidP="002A484A">
      <w:pPr>
        <w:jc w:val="center"/>
        <w:rPr>
          <w:rFonts w:ascii="Times New Roman" w:hAnsi="Times New Roman" w:cs="Times New Roman"/>
          <w:b/>
          <w:sz w:val="25"/>
          <w:szCs w:val="25"/>
        </w:rPr>
      </w:pPr>
    </w:p>
    <w:p w:rsidR="00C16793" w:rsidRDefault="00C16793" w:rsidP="002A484A">
      <w:pPr>
        <w:jc w:val="center"/>
        <w:rPr>
          <w:rFonts w:ascii="Times New Roman" w:hAnsi="Times New Roman" w:cs="Times New Roman"/>
          <w:b/>
          <w:sz w:val="25"/>
          <w:szCs w:val="25"/>
        </w:rPr>
      </w:pPr>
    </w:p>
    <w:p w:rsidR="00C16793" w:rsidRDefault="00C16793" w:rsidP="002A484A">
      <w:pPr>
        <w:jc w:val="center"/>
        <w:rPr>
          <w:rFonts w:ascii="Times New Roman" w:hAnsi="Times New Roman" w:cs="Times New Roman"/>
          <w:b/>
          <w:sz w:val="25"/>
          <w:szCs w:val="25"/>
        </w:rPr>
      </w:pPr>
    </w:p>
    <w:p w:rsidR="00014A56" w:rsidRPr="005A7FB4" w:rsidRDefault="005A7FB4" w:rsidP="002A484A">
      <w:pPr>
        <w:jc w:val="center"/>
        <w:rPr>
          <w:rFonts w:ascii="Times New Roman" w:hAnsi="Times New Roman" w:cs="Times New Roman"/>
          <w:b/>
          <w:sz w:val="25"/>
          <w:szCs w:val="25"/>
        </w:rPr>
      </w:pPr>
      <w:r w:rsidRPr="005A7FB4">
        <w:rPr>
          <w:rFonts w:ascii="Times New Roman" w:hAnsi="Times New Roman" w:cs="Times New Roman"/>
          <w:b/>
          <w:sz w:val="25"/>
          <w:szCs w:val="25"/>
        </w:rPr>
        <w:lastRenderedPageBreak/>
        <w:t>Πωλήσεις</w:t>
      </w:r>
    </w:p>
    <w:p w:rsidR="005E767F" w:rsidRPr="005E767F" w:rsidRDefault="005A7FB4" w:rsidP="005A7FB4">
      <w:pPr>
        <w:jc w:val="center"/>
        <w:rPr>
          <w:rFonts w:ascii="Times New Roman" w:hAnsi="Times New Roman" w:cs="Times New Roman"/>
          <w:sz w:val="25"/>
          <w:szCs w:val="25"/>
        </w:rPr>
      </w:pPr>
      <w:r w:rsidRPr="005A7FB4">
        <w:rPr>
          <w:rFonts w:ascii="Times New Roman" w:hAnsi="Times New Roman" w:cs="Times New Roman"/>
          <w:noProof/>
          <w:sz w:val="25"/>
          <w:szCs w:val="25"/>
        </w:rPr>
        <w:drawing>
          <wp:inline distT="0" distB="0" distL="0" distR="0">
            <wp:extent cx="4595426" cy="2271103"/>
            <wp:effectExtent l="19050" t="0" r="14674" b="0"/>
            <wp:docPr id="3"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767F" w:rsidRPr="005E767F" w:rsidRDefault="005E767F" w:rsidP="005E767F">
      <w:pPr>
        <w:jc w:val="both"/>
        <w:rPr>
          <w:rFonts w:ascii="Times New Roman" w:hAnsi="Times New Roman" w:cs="Times New Roman"/>
          <w:sz w:val="25"/>
          <w:szCs w:val="25"/>
        </w:rPr>
      </w:pPr>
      <w:r w:rsidRPr="00BE6DB9">
        <w:rPr>
          <w:rFonts w:ascii="Times New Roman" w:hAnsi="Times New Roman" w:cs="Times New Roman"/>
          <w:sz w:val="24"/>
          <w:szCs w:val="24"/>
        </w:rPr>
        <w:t xml:space="preserve">Όσον αφορά τις πωλήσεις, </w:t>
      </w:r>
      <w:r w:rsidRPr="00BE6DB9">
        <w:rPr>
          <w:rFonts w:ascii="Times New Roman" w:hAnsi="Times New Roman" w:cs="Times New Roman"/>
          <w:b/>
          <w:sz w:val="24"/>
          <w:szCs w:val="24"/>
        </w:rPr>
        <w:t>η πλε</w:t>
      </w:r>
      <w:r w:rsidR="005A7FB4" w:rsidRPr="00BE6DB9">
        <w:rPr>
          <w:rFonts w:ascii="Times New Roman" w:hAnsi="Times New Roman" w:cs="Times New Roman"/>
          <w:b/>
          <w:sz w:val="24"/>
          <w:szCs w:val="24"/>
        </w:rPr>
        <w:t xml:space="preserve">ιονότητα των επιχειρηματιών, </w:t>
      </w:r>
      <w:r w:rsidRPr="00BE6DB9">
        <w:rPr>
          <w:rFonts w:ascii="Times New Roman" w:hAnsi="Times New Roman" w:cs="Times New Roman"/>
          <w:b/>
          <w:sz w:val="24"/>
          <w:szCs w:val="24"/>
        </w:rPr>
        <w:t xml:space="preserve">ποσοστό 65%, δήλωσε ότι την θερινή εκπτωτική περίοδο του 2017 ήταν μικρότερες σε σύγκριση με το 2016 και το 28% ότι παρέμειναν </w:t>
      </w:r>
      <w:r w:rsidR="00014A56" w:rsidRPr="00BE6DB9">
        <w:rPr>
          <w:rFonts w:ascii="Times New Roman" w:hAnsi="Times New Roman" w:cs="Times New Roman"/>
          <w:b/>
          <w:sz w:val="24"/>
          <w:szCs w:val="24"/>
        </w:rPr>
        <w:t>στα ίδια επίπεδα</w:t>
      </w:r>
      <w:r w:rsidR="00F93522">
        <w:rPr>
          <w:rFonts w:ascii="Times New Roman" w:hAnsi="Times New Roman" w:cs="Times New Roman"/>
          <w:sz w:val="24"/>
          <w:szCs w:val="24"/>
        </w:rPr>
        <w:t>. Τέλος κατά τη</w:t>
      </w:r>
      <w:r w:rsidRPr="00BE6DB9">
        <w:rPr>
          <w:rFonts w:ascii="Times New Roman" w:hAnsi="Times New Roman" w:cs="Times New Roman"/>
          <w:sz w:val="24"/>
          <w:szCs w:val="24"/>
        </w:rPr>
        <w:t xml:space="preserve"> φετινή περίοδο των θερινών εκπτώσεων το ποσοστό των επιχειρήσεων που κινήθηκε σε καλύτερα επίπεδα σε σύγκριση με την αντίστοιχη περσινή περίοδο ανέρχεται στο </w:t>
      </w:r>
      <w:r w:rsidRPr="00BE6DB9">
        <w:rPr>
          <w:rFonts w:ascii="Times New Roman" w:hAnsi="Times New Roman" w:cs="Times New Roman"/>
          <w:b/>
          <w:sz w:val="24"/>
          <w:szCs w:val="24"/>
        </w:rPr>
        <w:t>6%, ίδιο περίπου με αυτό που ανιχνεύθηκε και για τη χειμερινή εκπτωτική περίοδο του 2017</w:t>
      </w:r>
      <w:r w:rsidRPr="00014A56">
        <w:rPr>
          <w:rFonts w:ascii="Times New Roman" w:hAnsi="Times New Roman" w:cs="Times New Roman"/>
          <w:b/>
          <w:sz w:val="25"/>
          <w:szCs w:val="25"/>
        </w:rPr>
        <w:t>.</w:t>
      </w:r>
      <w:r w:rsidRPr="005E767F">
        <w:rPr>
          <w:rFonts w:ascii="Times New Roman" w:hAnsi="Times New Roman" w:cs="Times New Roman"/>
          <w:sz w:val="25"/>
          <w:szCs w:val="25"/>
        </w:rPr>
        <w:t xml:space="preserve"> </w:t>
      </w:r>
    </w:p>
    <w:p w:rsidR="00DF6337" w:rsidRDefault="00DF6337" w:rsidP="005E767F">
      <w:pPr>
        <w:jc w:val="center"/>
        <w:rPr>
          <w:rFonts w:ascii="Times New Roman" w:hAnsi="Times New Roman" w:cs="Times New Roman"/>
          <w:b/>
          <w:sz w:val="25"/>
          <w:szCs w:val="25"/>
        </w:rPr>
      </w:pPr>
    </w:p>
    <w:p w:rsidR="00DF6337" w:rsidRDefault="00DF6337" w:rsidP="005E767F">
      <w:pPr>
        <w:jc w:val="center"/>
        <w:rPr>
          <w:rFonts w:ascii="Times New Roman" w:hAnsi="Times New Roman" w:cs="Times New Roman"/>
          <w:b/>
          <w:sz w:val="25"/>
          <w:szCs w:val="25"/>
        </w:rPr>
      </w:pPr>
    </w:p>
    <w:p w:rsidR="00DF6337" w:rsidRDefault="00DF6337" w:rsidP="005E767F">
      <w:pPr>
        <w:jc w:val="center"/>
        <w:rPr>
          <w:rFonts w:ascii="Times New Roman" w:hAnsi="Times New Roman" w:cs="Times New Roman"/>
          <w:b/>
          <w:sz w:val="25"/>
          <w:szCs w:val="25"/>
        </w:rPr>
      </w:pPr>
    </w:p>
    <w:p w:rsidR="00DF6337" w:rsidRDefault="00DF6337" w:rsidP="005E767F">
      <w:pPr>
        <w:jc w:val="center"/>
        <w:rPr>
          <w:rFonts w:ascii="Times New Roman" w:hAnsi="Times New Roman" w:cs="Times New Roman"/>
          <w:b/>
          <w:sz w:val="25"/>
          <w:szCs w:val="25"/>
        </w:rPr>
      </w:pPr>
    </w:p>
    <w:p w:rsidR="00DF6337" w:rsidRDefault="00DF6337" w:rsidP="005E767F">
      <w:pPr>
        <w:jc w:val="center"/>
        <w:rPr>
          <w:rFonts w:ascii="Times New Roman" w:hAnsi="Times New Roman" w:cs="Times New Roman"/>
          <w:b/>
          <w:sz w:val="25"/>
          <w:szCs w:val="25"/>
        </w:rPr>
      </w:pPr>
    </w:p>
    <w:p w:rsidR="00DF6337" w:rsidRDefault="00DF6337" w:rsidP="005E767F">
      <w:pPr>
        <w:jc w:val="center"/>
        <w:rPr>
          <w:rFonts w:ascii="Times New Roman" w:hAnsi="Times New Roman" w:cs="Times New Roman"/>
          <w:b/>
          <w:sz w:val="25"/>
          <w:szCs w:val="25"/>
        </w:rPr>
      </w:pPr>
    </w:p>
    <w:p w:rsidR="00DF6337" w:rsidRDefault="00DF6337" w:rsidP="005E767F">
      <w:pPr>
        <w:jc w:val="center"/>
        <w:rPr>
          <w:rFonts w:ascii="Times New Roman" w:hAnsi="Times New Roman" w:cs="Times New Roman"/>
          <w:b/>
          <w:sz w:val="25"/>
          <w:szCs w:val="25"/>
        </w:rPr>
      </w:pPr>
    </w:p>
    <w:p w:rsidR="00C16793" w:rsidRDefault="00C16793" w:rsidP="005E767F">
      <w:pPr>
        <w:jc w:val="center"/>
        <w:rPr>
          <w:rFonts w:ascii="Times New Roman" w:hAnsi="Times New Roman" w:cs="Times New Roman"/>
          <w:b/>
          <w:sz w:val="25"/>
          <w:szCs w:val="25"/>
        </w:rPr>
      </w:pPr>
    </w:p>
    <w:p w:rsidR="00C16793" w:rsidRDefault="00C16793" w:rsidP="005E767F">
      <w:pPr>
        <w:jc w:val="center"/>
        <w:rPr>
          <w:rFonts w:ascii="Times New Roman" w:hAnsi="Times New Roman" w:cs="Times New Roman"/>
          <w:b/>
          <w:sz w:val="25"/>
          <w:szCs w:val="25"/>
        </w:rPr>
      </w:pPr>
    </w:p>
    <w:p w:rsidR="00DF6337" w:rsidRDefault="00DF6337" w:rsidP="005E767F">
      <w:pPr>
        <w:jc w:val="center"/>
        <w:rPr>
          <w:rFonts w:ascii="Times New Roman" w:hAnsi="Times New Roman" w:cs="Times New Roman"/>
          <w:b/>
          <w:sz w:val="25"/>
          <w:szCs w:val="25"/>
        </w:rPr>
      </w:pPr>
    </w:p>
    <w:p w:rsidR="00DF6337" w:rsidRDefault="00DF6337" w:rsidP="005E767F">
      <w:pPr>
        <w:jc w:val="center"/>
        <w:rPr>
          <w:rFonts w:ascii="Times New Roman" w:hAnsi="Times New Roman" w:cs="Times New Roman"/>
          <w:b/>
          <w:sz w:val="25"/>
          <w:szCs w:val="25"/>
        </w:rPr>
      </w:pPr>
    </w:p>
    <w:p w:rsidR="00DF6337" w:rsidRDefault="00DF6337" w:rsidP="005E767F">
      <w:pPr>
        <w:jc w:val="center"/>
        <w:rPr>
          <w:rFonts w:ascii="Times New Roman" w:hAnsi="Times New Roman" w:cs="Times New Roman"/>
          <w:b/>
          <w:sz w:val="25"/>
          <w:szCs w:val="25"/>
        </w:rPr>
      </w:pPr>
    </w:p>
    <w:p w:rsidR="00DF6337" w:rsidRDefault="00DF6337" w:rsidP="005E767F">
      <w:pPr>
        <w:jc w:val="center"/>
        <w:rPr>
          <w:rFonts w:ascii="Times New Roman" w:hAnsi="Times New Roman" w:cs="Times New Roman"/>
          <w:b/>
          <w:sz w:val="25"/>
          <w:szCs w:val="25"/>
        </w:rPr>
      </w:pPr>
    </w:p>
    <w:p w:rsidR="00BE6DB9" w:rsidRDefault="00BE6DB9" w:rsidP="005E767F">
      <w:pPr>
        <w:jc w:val="center"/>
        <w:rPr>
          <w:rFonts w:ascii="Times New Roman" w:hAnsi="Times New Roman" w:cs="Times New Roman"/>
          <w:b/>
          <w:sz w:val="25"/>
          <w:szCs w:val="25"/>
        </w:rPr>
      </w:pPr>
    </w:p>
    <w:p w:rsidR="00BE6DB9" w:rsidRDefault="00BE6DB9" w:rsidP="005E767F">
      <w:pPr>
        <w:jc w:val="center"/>
        <w:rPr>
          <w:rFonts w:ascii="Times New Roman" w:hAnsi="Times New Roman" w:cs="Times New Roman"/>
          <w:b/>
          <w:sz w:val="25"/>
          <w:szCs w:val="25"/>
        </w:rPr>
      </w:pPr>
    </w:p>
    <w:p w:rsidR="00BE6DB9" w:rsidRDefault="00BE6DB9" w:rsidP="005E767F">
      <w:pPr>
        <w:jc w:val="center"/>
        <w:rPr>
          <w:rFonts w:ascii="Times New Roman" w:hAnsi="Times New Roman" w:cs="Times New Roman"/>
          <w:b/>
          <w:sz w:val="25"/>
          <w:szCs w:val="25"/>
        </w:rPr>
      </w:pPr>
    </w:p>
    <w:p w:rsidR="005E767F" w:rsidRPr="00014A56" w:rsidRDefault="005A7FB4" w:rsidP="005E767F">
      <w:pPr>
        <w:jc w:val="center"/>
        <w:rPr>
          <w:rFonts w:ascii="Times New Roman" w:hAnsi="Times New Roman" w:cs="Times New Roman"/>
          <w:b/>
          <w:sz w:val="25"/>
          <w:szCs w:val="25"/>
        </w:rPr>
      </w:pPr>
      <w:r w:rsidRPr="00014A56">
        <w:rPr>
          <w:rFonts w:ascii="Times New Roman" w:hAnsi="Times New Roman" w:cs="Times New Roman"/>
          <w:b/>
          <w:sz w:val="25"/>
          <w:szCs w:val="25"/>
        </w:rPr>
        <w:t>Πωλήσεις ανά τάξη μεγέθους τζίρου</w:t>
      </w:r>
    </w:p>
    <w:p w:rsidR="005E767F" w:rsidRPr="005E767F" w:rsidRDefault="005E767F" w:rsidP="005E767F">
      <w:pPr>
        <w:jc w:val="center"/>
        <w:rPr>
          <w:rFonts w:ascii="Times New Roman" w:hAnsi="Times New Roman" w:cs="Times New Roman"/>
          <w:noProof/>
          <w:sz w:val="25"/>
          <w:szCs w:val="25"/>
          <w:lang w:eastAsia="en-GB"/>
        </w:rPr>
      </w:pPr>
      <w:r w:rsidRPr="005E767F">
        <w:rPr>
          <w:rFonts w:ascii="Times New Roman" w:hAnsi="Times New Roman" w:cs="Times New Roman"/>
          <w:noProof/>
          <w:sz w:val="25"/>
          <w:szCs w:val="25"/>
        </w:rPr>
        <w:drawing>
          <wp:inline distT="0" distB="0" distL="0" distR="0">
            <wp:extent cx="5472000" cy="3062787"/>
            <wp:effectExtent l="19050" t="0" r="14400" b="4263"/>
            <wp:docPr id="7"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767F" w:rsidRPr="00014A56" w:rsidRDefault="005A7FB4" w:rsidP="005E767F">
      <w:pPr>
        <w:jc w:val="center"/>
        <w:rPr>
          <w:rFonts w:ascii="Times New Roman" w:hAnsi="Times New Roman" w:cs="Times New Roman"/>
          <w:b/>
          <w:noProof/>
          <w:sz w:val="25"/>
          <w:szCs w:val="25"/>
          <w:lang w:eastAsia="en-GB"/>
        </w:rPr>
      </w:pPr>
      <w:r w:rsidRPr="00014A56">
        <w:rPr>
          <w:rFonts w:ascii="Times New Roman" w:hAnsi="Times New Roman" w:cs="Times New Roman"/>
          <w:b/>
          <w:noProof/>
          <w:sz w:val="25"/>
          <w:szCs w:val="25"/>
          <w:lang w:eastAsia="en-GB"/>
        </w:rPr>
        <w:t xml:space="preserve">Πωλήσεις ανά </w:t>
      </w:r>
      <w:r w:rsidR="00014A56">
        <w:rPr>
          <w:rFonts w:ascii="Times New Roman" w:hAnsi="Times New Roman" w:cs="Times New Roman"/>
          <w:b/>
          <w:noProof/>
          <w:sz w:val="25"/>
          <w:szCs w:val="25"/>
          <w:lang w:eastAsia="en-GB"/>
        </w:rPr>
        <w:t>τάξη μεγέθου</w:t>
      </w:r>
      <w:r w:rsidRPr="00014A56">
        <w:rPr>
          <w:rFonts w:ascii="Times New Roman" w:hAnsi="Times New Roman" w:cs="Times New Roman"/>
          <w:b/>
          <w:noProof/>
          <w:sz w:val="25"/>
          <w:szCs w:val="25"/>
          <w:lang w:eastAsia="en-GB"/>
        </w:rPr>
        <w:t>ς απασχόλησης</w:t>
      </w:r>
    </w:p>
    <w:p w:rsidR="005E767F" w:rsidRPr="005E767F" w:rsidRDefault="005E767F" w:rsidP="005E767F">
      <w:pPr>
        <w:jc w:val="center"/>
        <w:rPr>
          <w:rFonts w:ascii="Times New Roman" w:hAnsi="Times New Roman" w:cs="Times New Roman"/>
          <w:sz w:val="25"/>
          <w:szCs w:val="25"/>
        </w:rPr>
      </w:pPr>
      <w:r w:rsidRPr="005E767F">
        <w:rPr>
          <w:rFonts w:ascii="Times New Roman" w:hAnsi="Times New Roman" w:cs="Times New Roman"/>
          <w:noProof/>
          <w:sz w:val="25"/>
          <w:szCs w:val="25"/>
        </w:rPr>
        <w:drawing>
          <wp:inline distT="0" distB="0" distL="0" distR="0">
            <wp:extent cx="5410200" cy="3057525"/>
            <wp:effectExtent l="19050" t="0" r="19050" b="0"/>
            <wp:docPr id="8"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7FB4" w:rsidRPr="00BE6DB9" w:rsidRDefault="005A7FB4" w:rsidP="005A7FB4">
      <w:pPr>
        <w:jc w:val="both"/>
        <w:rPr>
          <w:rFonts w:ascii="Times New Roman" w:hAnsi="Times New Roman" w:cs="Times New Roman"/>
          <w:sz w:val="24"/>
          <w:szCs w:val="24"/>
        </w:rPr>
      </w:pPr>
      <w:r w:rsidRPr="00BE6DB9">
        <w:rPr>
          <w:rFonts w:ascii="Times New Roman" w:hAnsi="Times New Roman" w:cs="Times New Roman"/>
          <w:sz w:val="24"/>
          <w:szCs w:val="24"/>
        </w:rPr>
        <w:t xml:space="preserve">Ο διαχωρισμός των επιχειρήσεων βάσει του μεγέθους, δηλαδή τον κύκλο εργασιών και τους μισθωτούς υπαλλήλους που απασχολούνται, αναδεικνύει ότι οι </w:t>
      </w:r>
      <w:r w:rsidR="00014A56" w:rsidRPr="00BE6DB9">
        <w:rPr>
          <w:rFonts w:ascii="Times New Roman" w:hAnsi="Times New Roman" w:cs="Times New Roman"/>
          <w:sz w:val="24"/>
          <w:szCs w:val="24"/>
        </w:rPr>
        <w:t>πολύ-</w:t>
      </w:r>
      <w:r w:rsidRPr="00BE6DB9">
        <w:rPr>
          <w:rFonts w:ascii="Times New Roman" w:hAnsi="Times New Roman" w:cs="Times New Roman"/>
          <w:sz w:val="24"/>
          <w:szCs w:val="24"/>
        </w:rPr>
        <w:t>μικρές σε μέγεθος επιχειρήσεις βρίσκονται σε δυσμενέστερη κατάσταση. Το ποσοστό που είχαν χαμηλότερες πωλήσεις σε σύγκριση με το 2016 εκτιμήθηκε στο 76% για επιχειρήσεις με τζίρο μικρότερο των 30.000 € και 51% με κύκλο εργασιών άνω των 30.000 €, καθώς και 70% για επιχειρήσεις που δεν απασχολούν μισθωτούς υπαλλήλους και 55% για επιχειρήσεις με έναν τουλάχιστον μισθωτό υπάλληλο.</w:t>
      </w:r>
    </w:p>
    <w:p w:rsidR="00DF6337" w:rsidRDefault="00DF6337" w:rsidP="007F2CB1">
      <w:pPr>
        <w:jc w:val="center"/>
        <w:rPr>
          <w:rFonts w:ascii="Times New Roman" w:hAnsi="Times New Roman" w:cs="Times New Roman"/>
          <w:b/>
          <w:sz w:val="25"/>
          <w:szCs w:val="25"/>
        </w:rPr>
      </w:pPr>
    </w:p>
    <w:p w:rsidR="005E767F" w:rsidRPr="00BE6DB9" w:rsidRDefault="005E767F" w:rsidP="005E767F">
      <w:pPr>
        <w:jc w:val="both"/>
        <w:rPr>
          <w:rFonts w:ascii="Times New Roman" w:hAnsi="Times New Roman" w:cs="Times New Roman"/>
          <w:sz w:val="24"/>
          <w:szCs w:val="24"/>
        </w:rPr>
      </w:pPr>
      <w:r w:rsidRPr="00BE6DB9">
        <w:rPr>
          <w:rFonts w:ascii="Times New Roman" w:hAnsi="Times New Roman" w:cs="Times New Roman"/>
          <w:sz w:val="24"/>
          <w:szCs w:val="24"/>
        </w:rPr>
        <w:lastRenderedPageBreak/>
        <w:t xml:space="preserve">Η πλειονότητα των επιχειρηματιών, όσον αφορά ποια ήταν η καλύτερη περίοδος των θερινών εκπτώσεων, απάντησε ότι ήταν </w:t>
      </w:r>
      <w:r w:rsidRPr="00BE6DB9">
        <w:rPr>
          <w:rFonts w:ascii="Times New Roman" w:hAnsi="Times New Roman" w:cs="Times New Roman"/>
          <w:b/>
          <w:sz w:val="24"/>
          <w:szCs w:val="24"/>
        </w:rPr>
        <w:t>το πρώτο δεκαπενθήμερο τις εκπτωτικής περιόδου, δηλαδή από 10/7/2017 έως 31/7/2017.</w:t>
      </w:r>
      <w:r w:rsidRPr="00BE6DB9">
        <w:rPr>
          <w:rFonts w:ascii="Times New Roman" w:hAnsi="Times New Roman" w:cs="Times New Roman"/>
          <w:sz w:val="24"/>
          <w:szCs w:val="24"/>
        </w:rPr>
        <w:t xml:space="preserve"> Επίσης ένας στους τρεις επιχειρηματίες δήλωσε ότι η καλύτερη περίοδος ήταν μεταξύ 1/8/2017 και 14/8/2017.</w:t>
      </w:r>
    </w:p>
    <w:p w:rsidR="005E767F" w:rsidRPr="005E767F" w:rsidRDefault="005E767F" w:rsidP="005E767F">
      <w:pPr>
        <w:jc w:val="center"/>
        <w:rPr>
          <w:rFonts w:ascii="Times New Roman" w:hAnsi="Times New Roman" w:cs="Times New Roman"/>
          <w:sz w:val="25"/>
          <w:szCs w:val="25"/>
        </w:rPr>
      </w:pPr>
      <w:r w:rsidRPr="005E767F">
        <w:rPr>
          <w:rFonts w:ascii="Times New Roman" w:hAnsi="Times New Roman" w:cs="Times New Roman"/>
          <w:noProof/>
          <w:sz w:val="25"/>
          <w:szCs w:val="25"/>
        </w:rPr>
        <w:drawing>
          <wp:inline distT="0" distB="0" distL="0" distR="0">
            <wp:extent cx="4739562" cy="2537927"/>
            <wp:effectExtent l="19050" t="0" r="22938" b="0"/>
            <wp:docPr id="10"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2CB1" w:rsidRPr="00BE6DB9" w:rsidRDefault="007F2CB1" w:rsidP="00AC00A6">
      <w:pPr>
        <w:jc w:val="center"/>
        <w:rPr>
          <w:rFonts w:ascii="Times New Roman" w:hAnsi="Times New Roman" w:cs="Times New Roman"/>
          <w:b/>
          <w:sz w:val="24"/>
          <w:szCs w:val="24"/>
        </w:rPr>
      </w:pPr>
      <w:r w:rsidRPr="00BE6DB9">
        <w:rPr>
          <w:rFonts w:ascii="Times New Roman" w:hAnsi="Times New Roman" w:cs="Times New Roman"/>
          <w:b/>
          <w:sz w:val="24"/>
          <w:szCs w:val="24"/>
        </w:rPr>
        <w:t>Τρόπος πληρωμής</w:t>
      </w:r>
    </w:p>
    <w:p w:rsidR="005E767F" w:rsidRPr="00BE6DB9" w:rsidRDefault="005E767F" w:rsidP="005E767F">
      <w:pPr>
        <w:jc w:val="both"/>
        <w:rPr>
          <w:rFonts w:ascii="Times New Roman" w:hAnsi="Times New Roman" w:cs="Times New Roman"/>
          <w:sz w:val="24"/>
          <w:szCs w:val="24"/>
        </w:rPr>
      </w:pPr>
      <w:r w:rsidRPr="00BE6DB9">
        <w:rPr>
          <w:rFonts w:ascii="Times New Roman" w:hAnsi="Times New Roman" w:cs="Times New Roman"/>
          <w:sz w:val="24"/>
          <w:szCs w:val="24"/>
        </w:rPr>
        <w:t>Όσον αφορά τον τρόπο πληρωμής που επέλεξαν οι καταναλωτές για τις αγορές τους εντός των θερινών εκπτώσεων, το 52% των επιχειρηματιών απάντησε ότι ή</w:t>
      </w:r>
      <w:r w:rsidR="00A81AD3">
        <w:rPr>
          <w:rFonts w:ascii="Times New Roman" w:hAnsi="Times New Roman" w:cs="Times New Roman"/>
          <w:sz w:val="24"/>
          <w:szCs w:val="24"/>
        </w:rPr>
        <w:t>ταν κυρίως με πιστωτικές κάρτες</w:t>
      </w:r>
      <w:r w:rsidRPr="00BE6DB9">
        <w:rPr>
          <w:rFonts w:ascii="Times New Roman" w:hAnsi="Times New Roman" w:cs="Times New Roman"/>
          <w:sz w:val="24"/>
          <w:szCs w:val="24"/>
        </w:rPr>
        <w:t xml:space="preserve">, το 26% ότι χρησιμοποίησαν πιστωτικές κάρτες και μετρητά στον ίδιο βαθμό και το 22% κυρίως με μετρητά. Αξίζει να σημειωθεί ότι πρώτη φορά, στις επαναλαμβανόμενες έρευνες τα ποσοστά χρήσης πιστωτικών καρτών είναι αυξημένα, γεγονός που επιβεβαιώνει την ευρεία πλέον χρήση ηλεκτρονικών πληρωμών. </w:t>
      </w:r>
    </w:p>
    <w:p w:rsidR="005E767F" w:rsidRPr="005E767F" w:rsidRDefault="005E767F" w:rsidP="005E767F">
      <w:pPr>
        <w:jc w:val="center"/>
        <w:rPr>
          <w:rFonts w:ascii="Times New Roman" w:hAnsi="Times New Roman" w:cs="Times New Roman"/>
          <w:sz w:val="25"/>
          <w:szCs w:val="25"/>
        </w:rPr>
      </w:pPr>
    </w:p>
    <w:p w:rsidR="005E767F" w:rsidRPr="005E767F" w:rsidRDefault="005E767F" w:rsidP="005E767F">
      <w:pPr>
        <w:jc w:val="center"/>
        <w:rPr>
          <w:rFonts w:ascii="Times New Roman" w:hAnsi="Times New Roman" w:cs="Times New Roman"/>
          <w:sz w:val="25"/>
          <w:szCs w:val="25"/>
        </w:rPr>
      </w:pPr>
      <w:r w:rsidRPr="005E767F">
        <w:rPr>
          <w:rFonts w:ascii="Times New Roman" w:hAnsi="Times New Roman" w:cs="Times New Roman"/>
          <w:noProof/>
          <w:sz w:val="25"/>
          <w:szCs w:val="25"/>
        </w:rPr>
        <w:drawing>
          <wp:inline distT="0" distB="0" distL="0" distR="0">
            <wp:extent cx="4610100" cy="2867024"/>
            <wp:effectExtent l="19050" t="0" r="19050" b="0"/>
            <wp:docPr id="20" name="Γράφημα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E767F" w:rsidRDefault="005E767F" w:rsidP="005E767F">
      <w:pPr>
        <w:spacing w:after="0" w:line="240" w:lineRule="auto"/>
        <w:jc w:val="both"/>
        <w:rPr>
          <w:rFonts w:ascii="Times New Roman" w:hAnsi="Times New Roman"/>
          <w:sz w:val="24"/>
          <w:szCs w:val="24"/>
        </w:rPr>
      </w:pPr>
    </w:p>
    <w:p w:rsidR="00BE6DB9" w:rsidRDefault="00BE6DB9" w:rsidP="005E767F">
      <w:pPr>
        <w:spacing w:after="0" w:line="240" w:lineRule="auto"/>
        <w:jc w:val="both"/>
        <w:rPr>
          <w:rFonts w:ascii="Times New Roman" w:hAnsi="Times New Roman"/>
          <w:sz w:val="24"/>
          <w:szCs w:val="24"/>
        </w:rPr>
      </w:pPr>
    </w:p>
    <w:p w:rsidR="00AC00A6" w:rsidRPr="00DF6337" w:rsidRDefault="00AC00A6" w:rsidP="005A7FB4">
      <w:pPr>
        <w:spacing w:after="0" w:line="240" w:lineRule="auto"/>
        <w:jc w:val="center"/>
        <w:rPr>
          <w:rFonts w:ascii="Times New Roman" w:hAnsi="Times New Roman"/>
          <w:b/>
          <w:sz w:val="24"/>
          <w:szCs w:val="24"/>
          <w:u w:val="single"/>
        </w:rPr>
      </w:pPr>
    </w:p>
    <w:p w:rsidR="00F410FE" w:rsidRDefault="00F410FE" w:rsidP="005B1D76">
      <w:pPr>
        <w:spacing w:after="0" w:line="240" w:lineRule="auto"/>
        <w:rPr>
          <w:rFonts w:ascii="Times New Roman" w:hAnsi="Times New Roman"/>
          <w:b/>
          <w:sz w:val="24"/>
          <w:szCs w:val="24"/>
          <w:u w:val="single"/>
        </w:rPr>
      </w:pPr>
    </w:p>
    <w:p w:rsidR="00C16793" w:rsidRDefault="00C16793" w:rsidP="005B1D76">
      <w:pPr>
        <w:spacing w:after="0" w:line="240" w:lineRule="auto"/>
        <w:rPr>
          <w:rFonts w:ascii="Times New Roman" w:hAnsi="Times New Roman"/>
          <w:b/>
          <w:sz w:val="24"/>
          <w:szCs w:val="24"/>
          <w:u w:val="single"/>
        </w:rPr>
      </w:pPr>
    </w:p>
    <w:p w:rsidR="005E767F" w:rsidRPr="00E208D2" w:rsidRDefault="005E767F" w:rsidP="005A7FB4">
      <w:pPr>
        <w:spacing w:after="0" w:line="240" w:lineRule="auto"/>
        <w:jc w:val="center"/>
        <w:rPr>
          <w:rFonts w:ascii="Times New Roman" w:hAnsi="Times New Roman"/>
          <w:b/>
          <w:sz w:val="24"/>
          <w:szCs w:val="24"/>
          <w:u w:val="single"/>
        </w:rPr>
      </w:pPr>
      <w:r>
        <w:rPr>
          <w:rFonts w:ascii="Times New Roman" w:hAnsi="Times New Roman"/>
          <w:b/>
          <w:sz w:val="24"/>
          <w:szCs w:val="24"/>
          <w:u w:val="single"/>
        </w:rPr>
        <w:t>Το άνοιγμα των Κυριακών</w:t>
      </w:r>
    </w:p>
    <w:p w:rsidR="005E767F" w:rsidRDefault="005E767F" w:rsidP="005E767F">
      <w:pPr>
        <w:spacing w:after="0" w:line="240" w:lineRule="auto"/>
        <w:jc w:val="both"/>
        <w:rPr>
          <w:rFonts w:ascii="Times New Roman" w:hAnsi="Times New Roman"/>
          <w:sz w:val="24"/>
          <w:szCs w:val="24"/>
        </w:rPr>
      </w:pPr>
    </w:p>
    <w:p w:rsidR="005E767F" w:rsidRPr="00BE6DB9" w:rsidRDefault="005E767F" w:rsidP="005E767F">
      <w:pPr>
        <w:spacing w:after="0"/>
        <w:jc w:val="both"/>
        <w:rPr>
          <w:rFonts w:ascii="Times New Roman" w:hAnsi="Times New Roman" w:cs="Times New Roman"/>
          <w:sz w:val="24"/>
          <w:szCs w:val="24"/>
        </w:rPr>
      </w:pPr>
    </w:p>
    <w:p w:rsidR="005E767F" w:rsidRPr="00BE6DB9" w:rsidRDefault="005E767F" w:rsidP="005E767F">
      <w:pPr>
        <w:spacing w:after="0"/>
        <w:jc w:val="both"/>
        <w:rPr>
          <w:rFonts w:ascii="Times New Roman" w:hAnsi="Times New Roman" w:cs="Times New Roman"/>
          <w:b/>
          <w:sz w:val="24"/>
          <w:szCs w:val="24"/>
        </w:rPr>
      </w:pPr>
      <w:r w:rsidRPr="00BE6DB9">
        <w:rPr>
          <w:rFonts w:ascii="Times New Roman" w:hAnsi="Times New Roman" w:cs="Times New Roman"/>
          <w:sz w:val="24"/>
          <w:szCs w:val="24"/>
        </w:rPr>
        <w:t xml:space="preserve">Στην φετινή έρευνα και με αφορμή της έναρξη εφαρμογής της Υπουργικής Απόφασης (75812 - 06/07/2017) για το άνοιγμα των καταστημάτων της Κυριακές σε συγκεκριμένες γεωγραφικές περιοχές, </w:t>
      </w:r>
      <w:r w:rsidRPr="00BE6DB9">
        <w:rPr>
          <w:rFonts w:ascii="Times New Roman" w:hAnsi="Times New Roman" w:cs="Times New Roman"/>
          <w:b/>
          <w:sz w:val="24"/>
          <w:szCs w:val="24"/>
        </w:rPr>
        <w:t xml:space="preserve">οι Εμπορικοί Σύλλογοι των αντίστοιχων περιοχών ρωτήθηκαν για την κατάσταση που επικράτησε στην αγορά της Κυριακές  της περιόδου που ακολούθησαν μετά την έναρξη εφαρμογής. </w:t>
      </w:r>
    </w:p>
    <w:p w:rsidR="005E767F" w:rsidRPr="00BE6DB9" w:rsidRDefault="005E767F" w:rsidP="005E767F">
      <w:pPr>
        <w:spacing w:after="0"/>
        <w:jc w:val="both"/>
        <w:rPr>
          <w:rFonts w:ascii="Times New Roman" w:hAnsi="Times New Roman" w:cs="Times New Roman"/>
          <w:sz w:val="24"/>
          <w:szCs w:val="24"/>
        </w:rPr>
      </w:pPr>
    </w:p>
    <w:p w:rsidR="0049338C" w:rsidRPr="00BE6DB9" w:rsidRDefault="005E767F" w:rsidP="00BE6DB9">
      <w:pPr>
        <w:spacing w:after="0"/>
        <w:jc w:val="both"/>
        <w:rPr>
          <w:rFonts w:ascii="Times New Roman" w:hAnsi="Times New Roman" w:cs="Times New Roman"/>
          <w:sz w:val="24"/>
          <w:szCs w:val="24"/>
          <w:u w:val="single"/>
        </w:rPr>
      </w:pPr>
      <w:r w:rsidRPr="00BE6DB9">
        <w:rPr>
          <w:rFonts w:ascii="Times New Roman" w:hAnsi="Times New Roman" w:cs="Times New Roman"/>
          <w:sz w:val="24"/>
          <w:szCs w:val="24"/>
          <w:u w:val="single"/>
        </w:rPr>
        <w:t>Είναι σαφές, σύμφωνα με τους Εμπορικούς Συλλόγους, ότι τα καταστήματα δεν επέλεξαν να διατηρήσουν τα καταστήματα τους ανοιχτά, εκτός από μεγάλες διεθνικές αλυσίδες οι οποίες μάλιστα φάνηκε περισσότερο να πειραματιστήκαν (δεν άνοιξαν όλες τις Κυριακές και ούτε όλα τα υποκαταστήματα τους).  Ακόμα και στο κέντρο της Αθήνας, η πλειοψηφία των καταστημάτων δεν άνοιξε τις Κυριακές.</w:t>
      </w:r>
      <w:r w:rsidR="002D04E4" w:rsidRPr="00BE6DB9">
        <w:rPr>
          <w:rFonts w:ascii="Times New Roman" w:hAnsi="Times New Roman" w:cs="Times New Roman"/>
          <w:sz w:val="24"/>
          <w:szCs w:val="24"/>
          <w:u w:val="single"/>
        </w:rPr>
        <w:t xml:space="preserve"> </w:t>
      </w:r>
    </w:p>
    <w:p w:rsidR="0049338C" w:rsidRPr="005E767F" w:rsidRDefault="0049338C" w:rsidP="005E767F">
      <w:pPr>
        <w:rPr>
          <w:rFonts w:ascii="Times New Roman" w:hAnsi="Times New Roman" w:cs="Times New Roman"/>
          <w:sz w:val="25"/>
          <w:szCs w:val="25"/>
        </w:rPr>
      </w:pPr>
    </w:p>
    <w:p w:rsidR="005E767F" w:rsidRPr="00582E63" w:rsidRDefault="00582E63" w:rsidP="002D04E4">
      <w:pPr>
        <w:tabs>
          <w:tab w:val="left" w:pos="3581"/>
        </w:tabs>
        <w:jc w:val="both"/>
        <w:rPr>
          <w:rFonts w:ascii="Times New Roman" w:hAnsi="Times New Roman" w:cs="Times New Roman"/>
          <w:b/>
          <w:sz w:val="24"/>
          <w:szCs w:val="24"/>
        </w:rPr>
      </w:pPr>
      <w:r>
        <w:rPr>
          <w:rFonts w:ascii="Times New Roman" w:hAnsi="Times New Roman" w:cs="Times New Roman"/>
          <w:b/>
          <w:sz w:val="24"/>
          <w:szCs w:val="24"/>
          <w:u w:val="single"/>
        </w:rPr>
        <w:t>Οι επιχειρήσεις</w:t>
      </w:r>
      <w:r w:rsidR="002D04E4" w:rsidRPr="00582E63">
        <w:rPr>
          <w:rFonts w:ascii="Times New Roman" w:hAnsi="Times New Roman" w:cs="Times New Roman"/>
          <w:b/>
          <w:sz w:val="24"/>
          <w:szCs w:val="24"/>
        </w:rPr>
        <w:tab/>
      </w:r>
    </w:p>
    <w:p w:rsidR="005E767F" w:rsidRPr="00BE6DB9" w:rsidRDefault="005E767F" w:rsidP="005E767F">
      <w:pPr>
        <w:jc w:val="both"/>
        <w:rPr>
          <w:rFonts w:ascii="Times New Roman" w:hAnsi="Times New Roman" w:cs="Times New Roman"/>
          <w:sz w:val="24"/>
          <w:szCs w:val="24"/>
        </w:rPr>
      </w:pPr>
      <w:r w:rsidRPr="00BE6DB9">
        <w:rPr>
          <w:rFonts w:ascii="Times New Roman" w:hAnsi="Times New Roman" w:cs="Times New Roman"/>
          <w:sz w:val="24"/>
          <w:szCs w:val="24"/>
        </w:rPr>
        <w:t>Για τα καταστήματα που άνοιξαν την Κυριακή 16 Ιουλίου το 48% των επιχειρηματιών  πιστεύει ότι το άνοιγμα του καταστήματος την Κυριακή δεν επηρέασε τον συνολικό τζίρο της θερινής εκπτωτικής περιόδου, το 38% ότι τον επηρέασε αρνητικά και μόλις το 10% δηλώνει ότι συνέτεινε θετικά.</w:t>
      </w:r>
    </w:p>
    <w:p w:rsidR="005E767F" w:rsidRPr="005E767F" w:rsidRDefault="005E767F" w:rsidP="005E767F">
      <w:pPr>
        <w:spacing w:after="0" w:line="240" w:lineRule="auto"/>
        <w:jc w:val="center"/>
        <w:rPr>
          <w:rFonts w:ascii="Times New Roman" w:hAnsi="Times New Roman" w:cs="Times New Roman"/>
          <w:sz w:val="25"/>
          <w:szCs w:val="25"/>
        </w:rPr>
      </w:pPr>
      <w:r w:rsidRPr="005E767F">
        <w:rPr>
          <w:rFonts w:ascii="Times New Roman" w:hAnsi="Times New Roman" w:cs="Times New Roman"/>
          <w:noProof/>
          <w:sz w:val="25"/>
          <w:szCs w:val="25"/>
        </w:rPr>
        <w:drawing>
          <wp:inline distT="0" distB="0" distL="0" distR="0">
            <wp:extent cx="4571222" cy="2677886"/>
            <wp:effectExtent l="19050" t="0" r="19828" b="8164"/>
            <wp:docPr id="11"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E767F" w:rsidRPr="005E767F" w:rsidRDefault="005E767F" w:rsidP="005E767F">
      <w:pPr>
        <w:spacing w:after="0" w:line="240" w:lineRule="auto"/>
        <w:jc w:val="both"/>
        <w:rPr>
          <w:rFonts w:ascii="Times New Roman" w:hAnsi="Times New Roman" w:cs="Times New Roman"/>
          <w:sz w:val="25"/>
          <w:szCs w:val="25"/>
        </w:rPr>
      </w:pPr>
    </w:p>
    <w:p w:rsidR="005E767F" w:rsidRPr="00BE6DB9" w:rsidRDefault="005E767F" w:rsidP="005E767F">
      <w:pPr>
        <w:jc w:val="center"/>
        <w:rPr>
          <w:rFonts w:ascii="Times New Roman" w:hAnsi="Times New Roman" w:cs="Times New Roman"/>
          <w:sz w:val="24"/>
          <w:szCs w:val="24"/>
        </w:rPr>
      </w:pPr>
    </w:p>
    <w:p w:rsidR="005E767F" w:rsidRPr="00BE6DB9" w:rsidRDefault="005E767F" w:rsidP="005E767F">
      <w:pPr>
        <w:jc w:val="both"/>
        <w:rPr>
          <w:rFonts w:ascii="Times New Roman" w:hAnsi="Times New Roman" w:cs="Times New Roman"/>
          <w:sz w:val="24"/>
          <w:szCs w:val="24"/>
        </w:rPr>
      </w:pPr>
      <w:r w:rsidRPr="00BE6DB9">
        <w:rPr>
          <w:rFonts w:ascii="Times New Roman" w:hAnsi="Times New Roman" w:cs="Times New Roman"/>
          <w:sz w:val="24"/>
          <w:szCs w:val="24"/>
        </w:rPr>
        <w:t xml:space="preserve">Η πλειονότητα των επιχειρηματιών που άνοιξαν την Κυριακή 16 Ιουλίου τα καταστήματά τους, έχουν επωμιστεί οι ίδιοι την κάλυψη της ανάγκης απασχόλησης προσωπικού, ενώ το 16% έχει επεκτείνει το ωράριο των υπαλλήλων που απασχολεί. </w:t>
      </w:r>
    </w:p>
    <w:p w:rsidR="005E767F" w:rsidRPr="005E767F" w:rsidRDefault="005E767F" w:rsidP="00014A56">
      <w:pPr>
        <w:jc w:val="center"/>
        <w:rPr>
          <w:rFonts w:ascii="Times New Roman" w:hAnsi="Times New Roman" w:cs="Times New Roman"/>
          <w:sz w:val="25"/>
          <w:szCs w:val="25"/>
        </w:rPr>
      </w:pPr>
      <w:r w:rsidRPr="005E767F">
        <w:rPr>
          <w:rFonts w:ascii="Times New Roman" w:hAnsi="Times New Roman" w:cs="Times New Roman"/>
          <w:noProof/>
          <w:sz w:val="25"/>
          <w:szCs w:val="25"/>
        </w:rPr>
        <w:lastRenderedPageBreak/>
        <w:drawing>
          <wp:inline distT="0" distB="0" distL="0" distR="0">
            <wp:extent cx="5028422" cy="2733869"/>
            <wp:effectExtent l="19050" t="0" r="19828" b="9331"/>
            <wp:docPr id="22" name="Γράφημ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E767F" w:rsidRPr="00BE6DB9" w:rsidRDefault="005E767F" w:rsidP="005E767F">
      <w:pPr>
        <w:jc w:val="both"/>
        <w:rPr>
          <w:rFonts w:ascii="Times New Roman" w:hAnsi="Times New Roman" w:cs="Times New Roman"/>
          <w:sz w:val="24"/>
          <w:szCs w:val="24"/>
        </w:rPr>
      </w:pPr>
      <w:r w:rsidRPr="00BE6DB9">
        <w:rPr>
          <w:rFonts w:ascii="Times New Roman" w:hAnsi="Times New Roman" w:cs="Times New Roman"/>
          <w:sz w:val="24"/>
          <w:szCs w:val="24"/>
        </w:rPr>
        <w:t>Τέσσερις στους πέντε επιχειρηματίες δηλώνουν ότι το άνοιγμα του καταστήματός του τις Κυριακές επιβαρύνει το λειτουργικό κόστος της επιχείρησης, το 22% δηλώνει ότι τους έχει επιβαρύνει πάρα πολύ και πολύ και το 48% λίγο.</w:t>
      </w:r>
    </w:p>
    <w:p w:rsidR="005E767F" w:rsidRPr="005E767F" w:rsidRDefault="005E767F" w:rsidP="005E767F">
      <w:pPr>
        <w:jc w:val="center"/>
        <w:rPr>
          <w:rFonts w:ascii="Times New Roman" w:hAnsi="Times New Roman" w:cs="Times New Roman"/>
          <w:sz w:val="25"/>
          <w:szCs w:val="25"/>
        </w:rPr>
      </w:pPr>
      <w:r w:rsidRPr="005E767F">
        <w:rPr>
          <w:rFonts w:ascii="Times New Roman" w:hAnsi="Times New Roman" w:cs="Times New Roman"/>
          <w:noProof/>
          <w:sz w:val="25"/>
          <w:szCs w:val="25"/>
        </w:rPr>
        <w:drawing>
          <wp:inline distT="0" distB="0" distL="0" distR="0">
            <wp:extent cx="4772245" cy="2472612"/>
            <wp:effectExtent l="19050" t="0" r="28355" b="3888"/>
            <wp:docPr id="23" name="Γράφημα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E767F" w:rsidRPr="00BE6DB9" w:rsidRDefault="005E767F" w:rsidP="005E767F">
      <w:pPr>
        <w:jc w:val="both"/>
        <w:rPr>
          <w:rFonts w:ascii="Times New Roman" w:hAnsi="Times New Roman" w:cs="Times New Roman"/>
          <w:sz w:val="24"/>
          <w:szCs w:val="24"/>
        </w:rPr>
      </w:pPr>
      <w:r w:rsidRPr="00BE6DB9">
        <w:rPr>
          <w:rFonts w:ascii="Times New Roman" w:hAnsi="Times New Roman" w:cs="Times New Roman"/>
          <w:sz w:val="24"/>
          <w:szCs w:val="24"/>
        </w:rPr>
        <w:t>Όσον αφορά την επισκεψιμότητα του καταστήματος και αν αυτή έχει αυξηθεί από το γεγονός ότι παραμένουν ανοιχτά τα καταστήματα τις Κυριακές, το 58% δηλώνει ότι δεν υπάρχει καμία βελτίωση. Το 29% απαντάει ότι το άνοιγμα τις Κυριακές έχει συμβάλει σε μικρό βαθμό στην αύξηση της επισκεψιμότητας και το 13% ότι έχει συμβάλει πάρα πολύ ή πολύ.</w:t>
      </w:r>
    </w:p>
    <w:p w:rsidR="005E767F" w:rsidRPr="00BE6DB9" w:rsidRDefault="005E767F" w:rsidP="005E767F">
      <w:pPr>
        <w:jc w:val="both"/>
        <w:rPr>
          <w:rFonts w:ascii="Times New Roman" w:hAnsi="Times New Roman" w:cs="Times New Roman"/>
          <w:sz w:val="24"/>
          <w:szCs w:val="24"/>
        </w:rPr>
      </w:pPr>
    </w:p>
    <w:p w:rsidR="005E767F" w:rsidRPr="005E767F" w:rsidRDefault="005E767F" w:rsidP="005E767F">
      <w:pPr>
        <w:jc w:val="center"/>
        <w:rPr>
          <w:rFonts w:ascii="Times New Roman" w:hAnsi="Times New Roman" w:cs="Times New Roman"/>
          <w:sz w:val="25"/>
          <w:szCs w:val="25"/>
        </w:rPr>
      </w:pPr>
      <w:r w:rsidRPr="005E767F">
        <w:rPr>
          <w:rFonts w:ascii="Times New Roman" w:hAnsi="Times New Roman" w:cs="Times New Roman"/>
          <w:noProof/>
          <w:sz w:val="25"/>
          <w:szCs w:val="25"/>
        </w:rPr>
        <w:lastRenderedPageBreak/>
        <w:drawing>
          <wp:inline distT="0" distB="0" distL="0" distR="0">
            <wp:extent cx="4767165" cy="2500604"/>
            <wp:effectExtent l="19050" t="0" r="14385" b="0"/>
            <wp:docPr id="24" name="Γράφημα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E767F" w:rsidRPr="005E767F" w:rsidRDefault="005E767F" w:rsidP="005E767F">
      <w:pPr>
        <w:rPr>
          <w:rFonts w:ascii="Times New Roman" w:hAnsi="Times New Roman" w:cs="Times New Roman"/>
          <w:sz w:val="25"/>
          <w:szCs w:val="25"/>
        </w:rPr>
      </w:pPr>
    </w:p>
    <w:p w:rsidR="005E767F" w:rsidRPr="00BE6DB9" w:rsidRDefault="005E767F" w:rsidP="005E767F">
      <w:pPr>
        <w:jc w:val="both"/>
        <w:rPr>
          <w:rFonts w:ascii="Times New Roman" w:hAnsi="Times New Roman" w:cs="Times New Roman"/>
          <w:b/>
          <w:sz w:val="24"/>
          <w:szCs w:val="24"/>
        </w:rPr>
      </w:pPr>
      <w:r w:rsidRPr="00BE6DB9">
        <w:rPr>
          <w:rFonts w:ascii="Times New Roman" w:hAnsi="Times New Roman" w:cs="Times New Roman"/>
          <w:sz w:val="24"/>
          <w:szCs w:val="24"/>
          <w:u w:val="single"/>
        </w:rPr>
        <w:t>Τέλος για τις επιχειρήσεις που ανήκουν σε Δήμους, όπου με τον νέο νόμο μπορούν να ανοίξουν όλες τις Κυριακές κατά τη διάρκεια της τουριστικής περιόδου έως και τον Οκτώβριο,</w:t>
      </w:r>
      <w:r w:rsidRPr="00BE6DB9">
        <w:rPr>
          <w:rFonts w:ascii="Times New Roman" w:hAnsi="Times New Roman" w:cs="Times New Roman"/>
          <w:sz w:val="24"/>
          <w:szCs w:val="24"/>
        </w:rPr>
        <w:t xml:space="preserve"> ρωτήθηκαν οι ιδιοκτήτες πόσες από αυτές σκοπεύουν να λειτουργήσουν τα καταστήματά τους. </w:t>
      </w:r>
      <w:r w:rsidRPr="00BE6DB9">
        <w:rPr>
          <w:rFonts w:ascii="Times New Roman" w:hAnsi="Times New Roman" w:cs="Times New Roman"/>
          <w:b/>
          <w:sz w:val="24"/>
          <w:szCs w:val="24"/>
        </w:rPr>
        <w:t>Εφτά στους δέκα δήλωσαν ότι δεν προτίθενται να ανοίξουν καμία Κυριακή, ένας στους τέσσερις ότι θα ανοίξουν κάποιες από αυτές και το 5% ότι θα ανοίξουν σχεδόν όλες τις Κυριακές.</w:t>
      </w:r>
    </w:p>
    <w:p w:rsidR="005E767F" w:rsidRPr="00BE6DB9" w:rsidRDefault="005E767F" w:rsidP="005E767F">
      <w:pPr>
        <w:jc w:val="both"/>
        <w:rPr>
          <w:rFonts w:ascii="Times New Roman" w:hAnsi="Times New Roman" w:cs="Times New Roman"/>
          <w:sz w:val="24"/>
          <w:szCs w:val="24"/>
        </w:rPr>
      </w:pPr>
    </w:p>
    <w:p w:rsidR="005E767F" w:rsidRPr="005E767F" w:rsidRDefault="005E767F" w:rsidP="005E767F">
      <w:pPr>
        <w:jc w:val="center"/>
        <w:rPr>
          <w:rFonts w:ascii="Times New Roman" w:hAnsi="Times New Roman" w:cs="Times New Roman"/>
          <w:sz w:val="25"/>
          <w:szCs w:val="25"/>
        </w:rPr>
      </w:pPr>
      <w:r w:rsidRPr="005E767F">
        <w:rPr>
          <w:rFonts w:ascii="Times New Roman" w:hAnsi="Times New Roman" w:cs="Times New Roman"/>
          <w:noProof/>
          <w:sz w:val="25"/>
          <w:szCs w:val="25"/>
        </w:rPr>
        <w:drawing>
          <wp:inline distT="0" distB="0" distL="0" distR="0">
            <wp:extent cx="4762500" cy="3276600"/>
            <wp:effectExtent l="19050" t="0" r="19050" b="0"/>
            <wp:docPr id="25" name="Γράφημα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F099E" w:rsidRPr="005E767F" w:rsidRDefault="007F099E" w:rsidP="007F099E">
      <w:pPr>
        <w:pStyle w:val="ae"/>
        <w:spacing w:before="80"/>
        <w:jc w:val="both"/>
        <w:rPr>
          <w:rFonts w:ascii="Times New Roman" w:hAnsi="Times New Roman"/>
          <w:sz w:val="25"/>
          <w:szCs w:val="25"/>
        </w:rPr>
      </w:pPr>
    </w:p>
    <w:p w:rsidR="007F099E" w:rsidRPr="005E767F" w:rsidRDefault="007F099E" w:rsidP="007F099E">
      <w:pPr>
        <w:spacing w:after="0" w:line="240" w:lineRule="auto"/>
        <w:jc w:val="both"/>
        <w:rPr>
          <w:rFonts w:ascii="Times New Roman" w:hAnsi="Times New Roman" w:cs="Times New Roman"/>
          <w:sz w:val="25"/>
          <w:szCs w:val="25"/>
        </w:rPr>
      </w:pPr>
    </w:p>
    <w:p w:rsidR="00843996" w:rsidRPr="00DF6337" w:rsidRDefault="00843996" w:rsidP="00EC608F">
      <w:pPr>
        <w:pStyle w:val="p2"/>
        <w:spacing w:before="120"/>
        <w:rPr>
          <w:rStyle w:val="s1"/>
          <w:rFonts w:ascii="Times New Roman" w:hAnsi="Times New Roman"/>
          <w:b/>
          <w:sz w:val="24"/>
          <w:szCs w:val="24"/>
        </w:rPr>
      </w:pPr>
    </w:p>
    <w:p w:rsidR="00843996" w:rsidRDefault="00843996" w:rsidP="00EC608F">
      <w:pPr>
        <w:pStyle w:val="p2"/>
        <w:spacing w:before="120"/>
        <w:rPr>
          <w:rStyle w:val="s1"/>
          <w:rFonts w:ascii="Times New Roman" w:hAnsi="Times New Roman"/>
          <w:b/>
          <w:sz w:val="24"/>
          <w:szCs w:val="24"/>
          <w:lang w:val="en-US"/>
        </w:rPr>
      </w:pPr>
    </w:p>
    <w:p w:rsidR="00843996" w:rsidRPr="00632ABB" w:rsidRDefault="00843996" w:rsidP="00843996">
      <w:pPr>
        <w:pStyle w:val="ae"/>
        <w:jc w:val="center"/>
        <w:rPr>
          <w:rFonts w:ascii="Times New Roman" w:hAnsi="Times New Roman"/>
          <w:b/>
          <w:i/>
          <w:sz w:val="28"/>
          <w:szCs w:val="28"/>
          <w:u w:val="single"/>
        </w:rPr>
      </w:pPr>
      <w:r w:rsidRPr="00A459C6">
        <w:rPr>
          <w:rFonts w:ascii="Times New Roman" w:hAnsi="Times New Roman"/>
          <w:b/>
          <w:i/>
          <w:sz w:val="28"/>
          <w:szCs w:val="28"/>
          <w:u w:val="single"/>
        </w:rPr>
        <w:lastRenderedPageBreak/>
        <w:t>Η κίνηση των θερινών εκπτώσεων στις συμβεβλημένες εμπορικές επιχειρήσεις των ΑΚΕ σε Πειραιά – Θεσσαλονίκη – Πάτρα  – Αλεξανδρούπολη</w:t>
      </w:r>
    </w:p>
    <w:p w:rsidR="00843996" w:rsidRPr="00F25316" w:rsidRDefault="00843996" w:rsidP="00843996">
      <w:pPr>
        <w:spacing w:after="0"/>
        <w:rPr>
          <w:rFonts w:ascii="Times New Roman" w:hAnsi="Times New Roman" w:cs="Times New Roman"/>
          <w:b/>
          <w:sz w:val="26"/>
          <w:szCs w:val="26"/>
        </w:rPr>
      </w:pPr>
    </w:p>
    <w:p w:rsidR="00843996" w:rsidRPr="00B050CA" w:rsidRDefault="00843996" w:rsidP="00843996">
      <w:pPr>
        <w:jc w:val="both"/>
        <w:rPr>
          <w:rFonts w:ascii="Times New Roman" w:hAnsi="Times New Roman"/>
          <w:sz w:val="24"/>
          <w:szCs w:val="24"/>
        </w:rPr>
      </w:pPr>
      <w:r w:rsidRPr="009A09E8">
        <w:rPr>
          <w:rFonts w:ascii="Times New Roman" w:hAnsi="Times New Roman"/>
          <w:sz w:val="24"/>
          <w:szCs w:val="24"/>
        </w:rPr>
        <w:t xml:space="preserve">Η ΕΣΕΕ για </w:t>
      </w:r>
      <w:r w:rsidR="00A459C6">
        <w:rPr>
          <w:rFonts w:ascii="Times New Roman" w:hAnsi="Times New Roman"/>
          <w:sz w:val="24"/>
          <w:szCs w:val="24"/>
        </w:rPr>
        <w:t>δεύτερη</w:t>
      </w:r>
      <w:r w:rsidRPr="009A09E8">
        <w:rPr>
          <w:rFonts w:ascii="Times New Roman" w:hAnsi="Times New Roman"/>
          <w:sz w:val="24"/>
          <w:szCs w:val="24"/>
        </w:rPr>
        <w:t xml:space="preserve"> φορά εξετάζει ξεχωριστά την κίνηση των θερινών εκπτώσεων  στις συμβεβλημένες εμπορικές  επιχειρήσεις του Open Mall του Πειραιά, της Θεσσαλονίκης, της Πάτρας και της Αλεξανδρούπολης. </w:t>
      </w:r>
      <w:r w:rsidRPr="009978C3">
        <w:rPr>
          <w:rFonts w:ascii="Times New Roman" w:hAnsi="Times New Roman"/>
          <w:sz w:val="24"/>
          <w:szCs w:val="24"/>
        </w:rPr>
        <w:t xml:space="preserve"> </w:t>
      </w:r>
      <w:r w:rsidRPr="009A09E8">
        <w:rPr>
          <w:rFonts w:ascii="Times New Roman" w:hAnsi="Times New Roman"/>
          <w:sz w:val="24"/>
          <w:szCs w:val="24"/>
        </w:rPr>
        <w:t xml:space="preserve">Η έρευνα αφορά τις εμπορικές επιχειρήσεις που συμμετέχουν στη δράση Open Mall, με κύρια δραστηριότητα το λιανικό εμπόριο και συγκεκριμένα, όπου διεξάγονται εκπτώσεις, όπως τα είδη ένδυσης-υπόδησης , τα είδη οπτικών, το λιανικό εμπόριο κοσμημάτων, και το άλλο λιανικό εξειδικευμένο εμπόριο. </w:t>
      </w:r>
      <w:r>
        <w:rPr>
          <w:rFonts w:ascii="Times New Roman" w:hAnsi="Times New Roman"/>
          <w:sz w:val="24"/>
          <w:szCs w:val="24"/>
        </w:rPr>
        <w:t xml:space="preserve">Τα αποτελέσματα των εκπτώσεων για τις επιχειρήσεις των ΑΚΕ παρουσιάζονται συνολικά και δεν λαμβάνουν υπόψη τις ιδιαίτερες περιπτώσεις κάθε τοπικής αγοράς. </w:t>
      </w:r>
    </w:p>
    <w:p w:rsidR="00A459C6" w:rsidRPr="00BE6DB9" w:rsidRDefault="00843996" w:rsidP="00BE6DB9">
      <w:pPr>
        <w:spacing w:before="120" w:after="0"/>
        <w:jc w:val="both"/>
        <w:rPr>
          <w:rFonts w:ascii="Times New Roman" w:hAnsi="Times New Roman" w:cs="Times New Roman"/>
          <w:sz w:val="24"/>
          <w:szCs w:val="24"/>
        </w:rPr>
      </w:pPr>
      <w:r w:rsidRPr="00BE6DB9">
        <w:rPr>
          <w:rFonts w:ascii="Times New Roman" w:hAnsi="Times New Roman" w:cs="Times New Roman"/>
          <w:sz w:val="24"/>
          <w:szCs w:val="24"/>
        </w:rPr>
        <w:t xml:space="preserve">Είναι ιδιαίτερα ενδιαφέρον ότι για τις επιχειρήσεις των ΑΚΕ οι πωλήσεις των φετινών θερινών εκπτώσεων σε σύγκριση με το προηγούμενο έτος κυμάνθηκαν στα ίδια επίπεδα ή υψηλότερα σε μεγαλύτερο ποσοστό σε σχέση με τις επιχειρήσεις του γενικού πληθυσμού. </w:t>
      </w:r>
      <w:r w:rsidR="00A459C6" w:rsidRPr="00BE6DB9">
        <w:rPr>
          <w:rFonts w:ascii="Times New Roman" w:hAnsi="Times New Roman" w:cs="Times New Roman"/>
          <w:sz w:val="24"/>
          <w:szCs w:val="24"/>
        </w:rPr>
        <w:t xml:space="preserve">Συγκεκριμένα, το 20% των επιχειρήσεων βελτίωσε τις πωλήσεις του σε σύγκριση με τις πωλήσεις των θερινών εκπτώσεων του προηγούμενου έτους, ενώ σε ένα σημαντικό ποσοστό της τάξης του 34% οι πωλήσεις κυμάνθηκαν στα ίδια επίπεδα. </w:t>
      </w:r>
    </w:p>
    <w:p w:rsidR="00A459C6" w:rsidRPr="00BE6DB9" w:rsidRDefault="00A459C6" w:rsidP="00A459C6">
      <w:pPr>
        <w:spacing w:before="120" w:after="0" w:line="240" w:lineRule="auto"/>
        <w:jc w:val="both"/>
        <w:rPr>
          <w:rFonts w:ascii="Times New Roman" w:hAnsi="Times New Roman" w:cs="Times New Roman"/>
          <w:sz w:val="24"/>
          <w:szCs w:val="24"/>
          <w:u w:val="single"/>
        </w:rPr>
      </w:pPr>
      <w:r w:rsidRPr="00BE6DB9">
        <w:rPr>
          <w:rFonts w:ascii="Times New Roman" w:hAnsi="Times New Roman" w:cs="Times New Roman"/>
          <w:sz w:val="24"/>
          <w:szCs w:val="24"/>
          <w:u w:val="single"/>
        </w:rPr>
        <w:t xml:space="preserve">Η βελτιωμένη εικόνα που παρατηρείται στις εμπορικές επιχειρήσεις των ΑΚΕ είναι </w:t>
      </w:r>
      <w:r w:rsidR="00582E63" w:rsidRPr="00BE6DB9">
        <w:rPr>
          <w:rFonts w:ascii="Times New Roman" w:hAnsi="Times New Roman" w:cs="Times New Roman"/>
          <w:sz w:val="24"/>
          <w:szCs w:val="24"/>
          <w:u w:val="single"/>
        </w:rPr>
        <w:t>απολύτως</w:t>
      </w:r>
      <w:r w:rsidRPr="00BE6DB9">
        <w:rPr>
          <w:rFonts w:ascii="Times New Roman" w:hAnsi="Times New Roman" w:cs="Times New Roman"/>
          <w:sz w:val="24"/>
          <w:szCs w:val="24"/>
          <w:u w:val="single"/>
        </w:rPr>
        <w:t xml:space="preserve"> ενδεικτική των αποκλίσεων που παρατηρούνται στις επιδόσεις των εμπορικών επιχειρήσεων ανάλογο των χώρο και τόπο εγκατάστασης. </w:t>
      </w:r>
    </w:p>
    <w:p w:rsidR="00A459C6" w:rsidRPr="00BE6DB9" w:rsidRDefault="00A459C6" w:rsidP="00A459C6">
      <w:pPr>
        <w:spacing w:before="120" w:after="0" w:line="240" w:lineRule="auto"/>
        <w:jc w:val="both"/>
        <w:rPr>
          <w:rFonts w:ascii="Times New Roman" w:hAnsi="Times New Roman" w:cs="Times New Roman"/>
          <w:sz w:val="24"/>
          <w:szCs w:val="24"/>
        </w:rPr>
      </w:pPr>
    </w:p>
    <w:p w:rsidR="00A459C6" w:rsidRPr="00BE6DB9" w:rsidRDefault="00843996" w:rsidP="00A459C6">
      <w:pPr>
        <w:spacing w:before="120" w:after="0" w:line="240" w:lineRule="auto"/>
        <w:jc w:val="both"/>
        <w:rPr>
          <w:rFonts w:ascii="Times New Roman" w:hAnsi="Times New Roman" w:cs="Times New Roman"/>
          <w:sz w:val="24"/>
          <w:szCs w:val="24"/>
        </w:rPr>
      </w:pPr>
      <w:r w:rsidRPr="00BE6DB9">
        <w:rPr>
          <w:rFonts w:ascii="Times New Roman" w:hAnsi="Times New Roman" w:cs="Times New Roman"/>
          <w:sz w:val="24"/>
          <w:szCs w:val="24"/>
        </w:rPr>
        <w:t>Από το 20% των ερωτηθέντων που δήλωσαν αύξηση των πωλήσεών τους, η πλειονότητα (4</w:t>
      </w:r>
      <w:r w:rsidR="00A459C6" w:rsidRPr="00BE6DB9">
        <w:rPr>
          <w:rFonts w:ascii="Times New Roman" w:hAnsi="Times New Roman" w:cs="Times New Roman"/>
          <w:sz w:val="24"/>
          <w:szCs w:val="24"/>
        </w:rPr>
        <w:t>6</w:t>
      </w:r>
      <w:r w:rsidRPr="00BE6DB9">
        <w:rPr>
          <w:rFonts w:ascii="Times New Roman" w:hAnsi="Times New Roman" w:cs="Times New Roman"/>
          <w:sz w:val="24"/>
          <w:szCs w:val="24"/>
        </w:rPr>
        <w:t xml:space="preserve">%) υποστήριξε πως η τόνωση του τζίρου τους κυμάνθηκε σε επίπεδα έως 10%. </w:t>
      </w:r>
    </w:p>
    <w:p w:rsidR="00A459C6" w:rsidRPr="00A459C6" w:rsidRDefault="00A459C6" w:rsidP="00A459C6">
      <w:pPr>
        <w:spacing w:before="120" w:after="0" w:line="240" w:lineRule="auto"/>
        <w:jc w:val="both"/>
        <w:rPr>
          <w:rStyle w:val="s1"/>
          <w:rFonts w:ascii="Times New Roman" w:hAnsi="Times New Roman"/>
          <w:noProof/>
          <w:sz w:val="24"/>
          <w:szCs w:val="24"/>
        </w:rPr>
      </w:pPr>
    </w:p>
    <w:p w:rsidR="00A459C6" w:rsidRPr="00A81AD3" w:rsidRDefault="00A459C6" w:rsidP="00843996">
      <w:pPr>
        <w:pStyle w:val="p2"/>
        <w:spacing w:before="120"/>
        <w:rPr>
          <w:rStyle w:val="s1"/>
          <w:rFonts w:ascii="Times New Roman" w:hAnsi="Times New Roman"/>
          <w:noProof/>
          <w:sz w:val="24"/>
          <w:szCs w:val="24"/>
        </w:rPr>
      </w:pPr>
    </w:p>
    <w:p w:rsidR="00A459C6" w:rsidRDefault="00BE6DB9" w:rsidP="00843996">
      <w:pPr>
        <w:pStyle w:val="p2"/>
        <w:spacing w:before="120"/>
        <w:rPr>
          <w:rStyle w:val="s1"/>
          <w:rFonts w:ascii="Times New Roman" w:hAnsi="Times New Roman"/>
          <w:noProof/>
          <w:sz w:val="24"/>
          <w:szCs w:val="24"/>
          <w:lang w:val="en-US"/>
        </w:rPr>
      </w:pPr>
      <w:r w:rsidRPr="00BE6DB9">
        <w:rPr>
          <w:rStyle w:val="s1"/>
          <w:rFonts w:ascii="Times New Roman" w:hAnsi="Times New Roman"/>
          <w:noProof/>
          <w:sz w:val="24"/>
          <w:szCs w:val="24"/>
        </w:rPr>
        <w:drawing>
          <wp:inline distT="0" distB="0" distL="0" distR="0">
            <wp:extent cx="5337810" cy="2874633"/>
            <wp:effectExtent l="19050" t="0" r="15240" b="1917"/>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59C6" w:rsidRPr="00A459C6" w:rsidRDefault="00A459C6" w:rsidP="00843996">
      <w:pPr>
        <w:pStyle w:val="p2"/>
        <w:spacing w:before="120"/>
        <w:rPr>
          <w:rStyle w:val="s1"/>
          <w:rFonts w:ascii="Times New Roman" w:hAnsi="Times New Roman"/>
          <w:sz w:val="24"/>
          <w:szCs w:val="24"/>
          <w:lang w:val="en-US"/>
        </w:rPr>
      </w:pPr>
    </w:p>
    <w:p w:rsidR="00843996" w:rsidRDefault="00843996" w:rsidP="00843996">
      <w:pPr>
        <w:pStyle w:val="p2"/>
        <w:spacing w:before="120"/>
        <w:rPr>
          <w:rStyle w:val="s1"/>
          <w:rFonts w:ascii="Times New Roman" w:hAnsi="Times New Roman"/>
          <w:sz w:val="24"/>
          <w:szCs w:val="24"/>
        </w:rPr>
      </w:pPr>
    </w:p>
    <w:p w:rsidR="00843996" w:rsidRDefault="00843996" w:rsidP="00843996">
      <w:pPr>
        <w:pStyle w:val="p2"/>
        <w:spacing w:before="120"/>
        <w:rPr>
          <w:rStyle w:val="s1"/>
          <w:rFonts w:ascii="Times New Roman" w:hAnsi="Times New Roman"/>
          <w:sz w:val="24"/>
          <w:szCs w:val="24"/>
        </w:rPr>
      </w:pPr>
    </w:p>
    <w:p w:rsidR="00843996" w:rsidRDefault="00A459C6" w:rsidP="00843996">
      <w:pPr>
        <w:pStyle w:val="p2"/>
        <w:spacing w:before="120"/>
        <w:rPr>
          <w:rStyle w:val="s1"/>
          <w:rFonts w:ascii="Times New Roman" w:hAnsi="Times New Roman"/>
          <w:sz w:val="24"/>
          <w:szCs w:val="24"/>
        </w:rPr>
      </w:pPr>
      <w:r w:rsidRPr="00A459C6">
        <w:rPr>
          <w:rStyle w:val="s1"/>
          <w:rFonts w:ascii="Times New Roman" w:hAnsi="Times New Roman"/>
          <w:noProof/>
          <w:sz w:val="24"/>
          <w:szCs w:val="24"/>
        </w:rPr>
        <w:drawing>
          <wp:inline distT="0" distB="0" distL="0" distR="0">
            <wp:extent cx="5337810" cy="2757869"/>
            <wp:effectExtent l="19050" t="0" r="15240" b="4381"/>
            <wp:docPr id="12"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459C6" w:rsidRDefault="00A459C6" w:rsidP="00843996">
      <w:pPr>
        <w:pStyle w:val="p2"/>
        <w:spacing w:before="120"/>
        <w:rPr>
          <w:rStyle w:val="s1"/>
          <w:rFonts w:ascii="Times New Roman" w:hAnsi="Times New Roman"/>
          <w:sz w:val="24"/>
          <w:szCs w:val="24"/>
          <w:lang w:val="en-US"/>
        </w:rPr>
      </w:pPr>
    </w:p>
    <w:p w:rsidR="00843996" w:rsidRDefault="00843996" w:rsidP="00843996">
      <w:pPr>
        <w:pStyle w:val="p2"/>
        <w:spacing w:before="120"/>
        <w:rPr>
          <w:rStyle w:val="s1"/>
          <w:rFonts w:ascii="Times New Roman" w:hAnsi="Times New Roman"/>
          <w:sz w:val="24"/>
          <w:szCs w:val="24"/>
        </w:rPr>
      </w:pPr>
      <w:r>
        <w:rPr>
          <w:rStyle w:val="s1"/>
          <w:rFonts w:ascii="Times New Roman" w:hAnsi="Times New Roman"/>
          <w:sz w:val="24"/>
          <w:szCs w:val="24"/>
        </w:rPr>
        <w:t xml:space="preserve">Και για τις επιχειρήσεις των ΑΚΕ, όπως ήταν αναμενόμενο, η πρώτη περίοδος των εκπτώσεων  κρίνεται ως καλύτερη από άποψη αγοραστικής κίνησης. </w:t>
      </w:r>
    </w:p>
    <w:p w:rsidR="00843996" w:rsidRDefault="00843996" w:rsidP="00843996">
      <w:pPr>
        <w:pStyle w:val="p2"/>
        <w:spacing w:before="120"/>
        <w:rPr>
          <w:rStyle w:val="s1"/>
          <w:rFonts w:ascii="Times New Roman" w:hAnsi="Times New Roman"/>
          <w:sz w:val="24"/>
          <w:szCs w:val="24"/>
        </w:rPr>
      </w:pPr>
    </w:p>
    <w:p w:rsidR="00843996" w:rsidRDefault="00A459C6" w:rsidP="00843996">
      <w:pPr>
        <w:pStyle w:val="p2"/>
        <w:spacing w:before="120"/>
        <w:rPr>
          <w:rStyle w:val="s1"/>
          <w:rFonts w:ascii="Times New Roman" w:hAnsi="Times New Roman"/>
          <w:sz w:val="24"/>
          <w:szCs w:val="24"/>
        </w:rPr>
      </w:pPr>
      <w:r w:rsidRPr="00A459C6">
        <w:rPr>
          <w:rStyle w:val="s1"/>
          <w:rFonts w:ascii="Times New Roman" w:hAnsi="Times New Roman"/>
          <w:noProof/>
          <w:sz w:val="24"/>
          <w:szCs w:val="24"/>
        </w:rPr>
        <w:drawing>
          <wp:inline distT="0" distB="0" distL="0" distR="0">
            <wp:extent cx="5337810" cy="3735849"/>
            <wp:effectExtent l="19050" t="0" r="15240" b="0"/>
            <wp:docPr id="13"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43996" w:rsidRPr="00843996" w:rsidRDefault="00843996" w:rsidP="00EC608F">
      <w:pPr>
        <w:pStyle w:val="p2"/>
        <w:spacing w:before="120"/>
        <w:rPr>
          <w:rStyle w:val="s1"/>
          <w:rFonts w:ascii="Times New Roman" w:hAnsi="Times New Roman"/>
          <w:b/>
          <w:sz w:val="24"/>
          <w:szCs w:val="24"/>
        </w:rPr>
      </w:pPr>
    </w:p>
    <w:p w:rsidR="00AB45DF" w:rsidRDefault="00AB45DF" w:rsidP="00BE6DB9">
      <w:pPr>
        <w:pStyle w:val="p1"/>
        <w:spacing w:line="276" w:lineRule="auto"/>
        <w:jc w:val="both"/>
        <w:rPr>
          <w:rStyle w:val="s1"/>
          <w:rFonts w:ascii="Times New Roman" w:hAnsi="Times New Roman"/>
          <w:color w:val="auto"/>
          <w:sz w:val="25"/>
          <w:szCs w:val="25"/>
        </w:rPr>
      </w:pPr>
    </w:p>
    <w:p w:rsidR="00AB45DF" w:rsidRDefault="00AB45DF" w:rsidP="00BE6DB9">
      <w:pPr>
        <w:pStyle w:val="p1"/>
        <w:spacing w:line="276" w:lineRule="auto"/>
        <w:jc w:val="both"/>
        <w:rPr>
          <w:rStyle w:val="s1"/>
          <w:rFonts w:ascii="Times New Roman" w:hAnsi="Times New Roman"/>
          <w:color w:val="auto"/>
          <w:sz w:val="25"/>
          <w:szCs w:val="25"/>
        </w:rPr>
      </w:pPr>
    </w:p>
    <w:p w:rsidR="00C16793" w:rsidRDefault="00C16793" w:rsidP="00BE6DB9">
      <w:pPr>
        <w:pStyle w:val="p1"/>
        <w:spacing w:line="276" w:lineRule="auto"/>
        <w:jc w:val="both"/>
        <w:rPr>
          <w:rStyle w:val="s1"/>
          <w:rFonts w:ascii="Times New Roman" w:hAnsi="Times New Roman"/>
          <w:color w:val="auto"/>
          <w:sz w:val="25"/>
          <w:szCs w:val="25"/>
        </w:rPr>
      </w:pPr>
    </w:p>
    <w:p w:rsidR="00C16793" w:rsidRDefault="00C16793" w:rsidP="00BE6DB9">
      <w:pPr>
        <w:pStyle w:val="p1"/>
        <w:spacing w:line="276" w:lineRule="auto"/>
        <w:jc w:val="both"/>
        <w:rPr>
          <w:rStyle w:val="s1"/>
          <w:rFonts w:ascii="Times New Roman" w:hAnsi="Times New Roman"/>
          <w:color w:val="auto"/>
          <w:sz w:val="25"/>
          <w:szCs w:val="25"/>
        </w:rPr>
      </w:pPr>
    </w:p>
    <w:p w:rsidR="00C16793" w:rsidRDefault="00C16793" w:rsidP="00BE6DB9">
      <w:pPr>
        <w:pStyle w:val="p1"/>
        <w:spacing w:line="276" w:lineRule="auto"/>
        <w:jc w:val="both"/>
        <w:rPr>
          <w:rStyle w:val="s1"/>
          <w:rFonts w:ascii="Times New Roman" w:hAnsi="Times New Roman"/>
          <w:color w:val="auto"/>
          <w:sz w:val="25"/>
          <w:szCs w:val="25"/>
        </w:rPr>
      </w:pPr>
    </w:p>
    <w:p w:rsidR="00364DC5" w:rsidRPr="00BE6DB9" w:rsidRDefault="008B0698" w:rsidP="00BE6DB9">
      <w:pPr>
        <w:pStyle w:val="p1"/>
        <w:spacing w:line="276" w:lineRule="auto"/>
        <w:jc w:val="both"/>
        <w:rPr>
          <w:rFonts w:ascii="Times New Roman" w:hAnsi="Times New Roman"/>
          <w:i/>
          <w:color w:val="auto"/>
          <w:sz w:val="25"/>
          <w:szCs w:val="25"/>
        </w:rPr>
      </w:pPr>
      <w:r>
        <w:lastRenderedPageBreak/>
        <w:tab/>
      </w:r>
    </w:p>
    <w:tbl>
      <w:tblPr>
        <w:tblW w:w="8918" w:type="dxa"/>
        <w:tblInd w:w="93" w:type="dxa"/>
        <w:tblLook w:val="04A0" w:firstRow="1" w:lastRow="0" w:firstColumn="1" w:lastColumn="0" w:noHBand="0" w:noVBand="1"/>
      </w:tblPr>
      <w:tblGrid>
        <w:gridCol w:w="3968"/>
        <w:gridCol w:w="4950"/>
      </w:tblGrid>
      <w:tr w:rsidR="00764F00" w:rsidRPr="00514C06" w:rsidTr="00294BD8">
        <w:trPr>
          <w:trHeight w:val="20"/>
        </w:trPr>
        <w:tc>
          <w:tcPr>
            <w:tcW w:w="8918" w:type="dxa"/>
            <w:gridSpan w:val="2"/>
            <w:tcBorders>
              <w:top w:val="single" w:sz="8" w:space="0" w:color="auto"/>
              <w:left w:val="single" w:sz="8" w:space="0" w:color="auto"/>
              <w:bottom w:val="single" w:sz="8" w:space="0" w:color="auto"/>
              <w:right w:val="single" w:sz="8" w:space="0" w:color="000000"/>
            </w:tcBorders>
            <w:shd w:val="clear" w:color="000000" w:fill="BFBFBF" w:themeFill="background1" w:themeFillShade="BF"/>
            <w:vAlign w:val="bottom"/>
            <w:hideMark/>
          </w:tcPr>
          <w:p w:rsidR="00764F00" w:rsidRPr="00514C06" w:rsidRDefault="00764F00" w:rsidP="00305F39">
            <w:pPr>
              <w:spacing w:after="0" w:line="240" w:lineRule="auto"/>
              <w:jc w:val="center"/>
              <w:rPr>
                <w:rFonts w:ascii="Times New Roman" w:eastAsia="Times New Roman" w:hAnsi="Times New Roman" w:cs="Times New Roman"/>
                <w:b/>
                <w:bCs/>
                <w:color w:val="000000"/>
                <w:sz w:val="26"/>
                <w:szCs w:val="26"/>
              </w:rPr>
            </w:pPr>
            <w:r w:rsidRPr="00514C06">
              <w:rPr>
                <w:rFonts w:ascii="Times New Roman" w:eastAsia="Times New Roman" w:hAnsi="Times New Roman" w:cs="Times New Roman"/>
                <w:b/>
                <w:bCs/>
                <w:color w:val="000000"/>
                <w:sz w:val="26"/>
                <w:szCs w:val="26"/>
              </w:rPr>
              <w:t>Πίνακας:</w:t>
            </w:r>
            <w:r w:rsidRPr="00514C06">
              <w:rPr>
                <w:rFonts w:ascii="Times New Roman" w:eastAsia="Times New Roman" w:hAnsi="Times New Roman" w:cs="Times New Roman"/>
                <w:b/>
                <w:bCs/>
                <w:color w:val="000000"/>
              </w:rPr>
              <w:t xml:space="preserve"> Εκτιμήσεις </w:t>
            </w:r>
            <w:r w:rsidR="00D878A6">
              <w:rPr>
                <w:rFonts w:ascii="Times New Roman" w:eastAsia="Times New Roman" w:hAnsi="Times New Roman" w:cs="Times New Roman"/>
                <w:b/>
                <w:bCs/>
                <w:color w:val="000000"/>
              </w:rPr>
              <w:t>6</w:t>
            </w:r>
            <w:r w:rsidR="00305F39">
              <w:rPr>
                <w:rFonts w:ascii="Times New Roman" w:eastAsia="Times New Roman" w:hAnsi="Times New Roman" w:cs="Times New Roman"/>
                <w:b/>
                <w:bCs/>
                <w:color w:val="000000"/>
              </w:rPr>
              <w:t>8</w:t>
            </w:r>
            <w:r w:rsidRPr="00514C06">
              <w:rPr>
                <w:rFonts w:ascii="Times New Roman" w:eastAsia="Times New Roman" w:hAnsi="Times New Roman" w:cs="Times New Roman"/>
                <w:b/>
                <w:bCs/>
                <w:color w:val="000000"/>
              </w:rPr>
              <w:t xml:space="preserve"> Εμπορικών Συλλόγων για την εξέλιξη του κύκλου εργασιών κατά τη διάρκεια των Θερινών Εκπτώσεων </w:t>
            </w:r>
            <w:r w:rsidR="006C4DA4">
              <w:rPr>
                <w:rFonts w:ascii="Times New Roman" w:eastAsia="Times New Roman" w:hAnsi="Times New Roman" w:cs="Times New Roman"/>
                <w:b/>
                <w:bCs/>
                <w:color w:val="000000"/>
              </w:rPr>
              <w:t>2017</w:t>
            </w:r>
          </w:p>
        </w:tc>
      </w:tr>
      <w:tr w:rsidR="00764F00"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D9D9D9"/>
            <w:vAlign w:val="center"/>
            <w:hideMark/>
          </w:tcPr>
          <w:p w:rsidR="00764F00" w:rsidRPr="00294BD8" w:rsidRDefault="00764F00" w:rsidP="00294BD8">
            <w:pPr>
              <w:spacing w:after="0" w:line="240" w:lineRule="auto"/>
              <w:jc w:val="center"/>
              <w:rPr>
                <w:rFonts w:ascii="Times New Roman" w:eastAsia="Times New Roman" w:hAnsi="Times New Roman" w:cs="Times New Roman"/>
                <w:b/>
                <w:bCs/>
                <w:color w:val="000000"/>
              </w:rPr>
            </w:pPr>
            <w:r w:rsidRPr="00294BD8">
              <w:rPr>
                <w:rFonts w:ascii="Times New Roman" w:eastAsia="Times New Roman" w:hAnsi="Times New Roman" w:cs="Times New Roman"/>
                <w:b/>
                <w:bCs/>
                <w:color w:val="000000"/>
              </w:rPr>
              <w:t>Εμπορικοί Σύλλογοι</w:t>
            </w:r>
          </w:p>
        </w:tc>
        <w:tc>
          <w:tcPr>
            <w:tcW w:w="4950" w:type="dxa"/>
            <w:tcBorders>
              <w:top w:val="nil"/>
              <w:left w:val="nil"/>
              <w:bottom w:val="single" w:sz="8" w:space="0" w:color="auto"/>
              <w:right w:val="single" w:sz="8" w:space="0" w:color="auto"/>
            </w:tcBorders>
            <w:shd w:val="clear" w:color="000000" w:fill="D9D9D9"/>
            <w:vAlign w:val="bottom"/>
            <w:hideMark/>
          </w:tcPr>
          <w:p w:rsidR="00764F00" w:rsidRPr="00514C06" w:rsidRDefault="00764F00" w:rsidP="0043576F">
            <w:pPr>
              <w:spacing w:after="0" w:line="240" w:lineRule="auto"/>
              <w:jc w:val="center"/>
              <w:rPr>
                <w:rFonts w:ascii="Times New Roman" w:eastAsia="Times New Roman" w:hAnsi="Times New Roman" w:cs="Times New Roman"/>
                <w:b/>
                <w:bCs/>
                <w:color w:val="000000"/>
              </w:rPr>
            </w:pPr>
            <w:r w:rsidRPr="00514C06">
              <w:rPr>
                <w:rFonts w:ascii="Times New Roman" w:eastAsia="Times New Roman" w:hAnsi="Times New Roman" w:cs="Times New Roman"/>
                <w:b/>
                <w:bCs/>
                <w:color w:val="000000"/>
              </w:rPr>
              <w:t>Μεταβολή (%) τζίρου κατά τη διάρκεια των Θερινών Εκπτώσεων 201</w:t>
            </w:r>
            <w:r w:rsidR="0043576F">
              <w:rPr>
                <w:rFonts w:ascii="Times New Roman" w:eastAsia="Times New Roman" w:hAnsi="Times New Roman" w:cs="Times New Roman"/>
                <w:b/>
                <w:bCs/>
                <w:color w:val="000000"/>
              </w:rPr>
              <w:t>7</w:t>
            </w:r>
            <w:r w:rsidRPr="00514C06">
              <w:rPr>
                <w:rFonts w:ascii="Times New Roman" w:eastAsia="Times New Roman" w:hAnsi="Times New Roman" w:cs="Times New Roman"/>
                <w:b/>
                <w:bCs/>
                <w:color w:val="000000"/>
              </w:rPr>
              <w:t>/201</w:t>
            </w:r>
            <w:r w:rsidR="0043576F">
              <w:rPr>
                <w:rFonts w:ascii="Times New Roman" w:eastAsia="Times New Roman" w:hAnsi="Times New Roman" w:cs="Times New Roman"/>
                <w:b/>
                <w:bCs/>
                <w:color w:val="000000"/>
              </w:rPr>
              <w:t>6</w:t>
            </w:r>
          </w:p>
        </w:tc>
      </w:tr>
      <w:tr w:rsidR="00764F00" w:rsidRPr="00514C06" w:rsidTr="0043576F">
        <w:trPr>
          <w:trHeight w:hRule="exact" w:val="113"/>
        </w:trPr>
        <w:tc>
          <w:tcPr>
            <w:tcW w:w="39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64F00" w:rsidRPr="00514C06" w:rsidRDefault="0043576F" w:rsidP="00294BD8">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1.  Ε.Σ.  Αθηνών</w:t>
            </w:r>
          </w:p>
        </w:tc>
        <w:tc>
          <w:tcPr>
            <w:tcW w:w="49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64F00" w:rsidRPr="00514C06" w:rsidRDefault="00405DA0" w:rsidP="0043576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color w:val="000000"/>
              </w:rPr>
              <w:t>Ιστορικό Κέντρο</w:t>
            </w:r>
            <w:r w:rsidR="00764F00" w:rsidRPr="00514C06">
              <w:rPr>
                <w:rFonts w:ascii="Times New Roman" w:eastAsia="Times New Roman" w:hAnsi="Times New Roman" w:cs="Times New Roman"/>
                <w:b/>
                <w:bCs/>
                <w:color w:val="000000"/>
              </w:rPr>
              <w:t xml:space="preserve">- Πτώση </w:t>
            </w:r>
            <w:r w:rsidR="0043576F">
              <w:rPr>
                <w:rFonts w:ascii="Times New Roman" w:eastAsia="Times New Roman" w:hAnsi="Times New Roman" w:cs="Times New Roman"/>
                <w:color w:val="000000"/>
              </w:rPr>
              <w:t>1</w:t>
            </w:r>
            <w:r w:rsidR="00764F00" w:rsidRPr="00514C06">
              <w:rPr>
                <w:rFonts w:ascii="Times New Roman" w:eastAsia="Times New Roman" w:hAnsi="Times New Roman" w:cs="Times New Roman"/>
                <w:color w:val="000000"/>
              </w:rPr>
              <w:t>-10%</w:t>
            </w:r>
          </w:p>
        </w:tc>
      </w:tr>
      <w:tr w:rsidR="00764F00" w:rsidRPr="00514C06" w:rsidTr="0043576F">
        <w:trPr>
          <w:trHeight w:val="509"/>
        </w:trPr>
        <w:tc>
          <w:tcPr>
            <w:tcW w:w="3968" w:type="dxa"/>
            <w:vMerge/>
            <w:tcBorders>
              <w:top w:val="nil"/>
              <w:left w:val="single" w:sz="8" w:space="0" w:color="auto"/>
              <w:bottom w:val="single" w:sz="8" w:space="0" w:color="000000"/>
              <w:right w:val="single" w:sz="8" w:space="0" w:color="auto"/>
            </w:tcBorders>
            <w:vAlign w:val="center"/>
            <w:hideMark/>
          </w:tcPr>
          <w:p w:rsidR="00764F00" w:rsidRPr="00514C06" w:rsidRDefault="00764F00" w:rsidP="009978C3">
            <w:pPr>
              <w:spacing w:after="0" w:line="240" w:lineRule="auto"/>
              <w:rPr>
                <w:rFonts w:ascii="Times New Roman" w:eastAsia="Times New Roman" w:hAnsi="Times New Roman" w:cs="Times New Roman"/>
                <w:b/>
                <w:bCs/>
                <w:color w:val="000000"/>
              </w:rPr>
            </w:pPr>
          </w:p>
        </w:tc>
        <w:tc>
          <w:tcPr>
            <w:tcW w:w="4950" w:type="dxa"/>
            <w:vMerge/>
            <w:tcBorders>
              <w:top w:val="nil"/>
              <w:left w:val="single" w:sz="8" w:space="0" w:color="auto"/>
              <w:bottom w:val="single" w:sz="8" w:space="0" w:color="000000"/>
              <w:right w:val="single" w:sz="8" w:space="0" w:color="auto"/>
            </w:tcBorders>
            <w:vAlign w:val="center"/>
            <w:hideMark/>
          </w:tcPr>
          <w:p w:rsidR="00764F00" w:rsidRPr="00514C06" w:rsidRDefault="00764F00" w:rsidP="009978C3">
            <w:pPr>
              <w:spacing w:after="0" w:line="240" w:lineRule="auto"/>
              <w:rPr>
                <w:rFonts w:ascii="Times New Roman" w:eastAsia="Times New Roman" w:hAnsi="Times New Roman" w:cs="Times New Roman"/>
                <w:b/>
                <w:bCs/>
                <w:color w:val="000000"/>
              </w:rPr>
            </w:pPr>
          </w:p>
        </w:tc>
      </w:tr>
      <w:tr w:rsidR="00764F00" w:rsidRPr="00514C06" w:rsidTr="0043576F">
        <w:trPr>
          <w:trHeight w:val="67"/>
        </w:trPr>
        <w:tc>
          <w:tcPr>
            <w:tcW w:w="3968" w:type="dxa"/>
            <w:vMerge/>
            <w:tcBorders>
              <w:top w:val="nil"/>
              <w:left w:val="single" w:sz="8" w:space="0" w:color="auto"/>
              <w:bottom w:val="single" w:sz="8" w:space="0" w:color="000000"/>
              <w:right w:val="single" w:sz="8" w:space="0" w:color="auto"/>
            </w:tcBorders>
            <w:vAlign w:val="center"/>
            <w:hideMark/>
          </w:tcPr>
          <w:p w:rsidR="00764F00" w:rsidRPr="00514C06" w:rsidRDefault="00764F00" w:rsidP="009978C3">
            <w:pPr>
              <w:spacing w:after="0" w:line="240" w:lineRule="auto"/>
              <w:rPr>
                <w:rFonts w:ascii="Times New Roman" w:eastAsia="Times New Roman" w:hAnsi="Times New Roman" w:cs="Times New Roman"/>
                <w:b/>
                <w:bCs/>
                <w:color w:val="000000"/>
              </w:rPr>
            </w:pPr>
          </w:p>
        </w:tc>
        <w:tc>
          <w:tcPr>
            <w:tcW w:w="4950" w:type="dxa"/>
            <w:tcBorders>
              <w:top w:val="nil"/>
              <w:left w:val="nil"/>
              <w:bottom w:val="single" w:sz="8" w:space="0" w:color="auto"/>
              <w:right w:val="single" w:sz="8" w:space="0" w:color="auto"/>
            </w:tcBorders>
            <w:shd w:val="clear" w:color="000000" w:fill="FFFFFF"/>
            <w:vAlign w:val="bottom"/>
            <w:hideMark/>
          </w:tcPr>
          <w:p w:rsidR="00764F00" w:rsidRPr="00514C06" w:rsidRDefault="00764F00" w:rsidP="009978C3">
            <w:pPr>
              <w:spacing w:after="0" w:line="240" w:lineRule="auto"/>
              <w:jc w:val="center"/>
              <w:rPr>
                <w:rFonts w:ascii="Times New Roman" w:eastAsia="Times New Roman" w:hAnsi="Times New Roman" w:cs="Times New Roman"/>
                <w:b/>
                <w:bCs/>
                <w:color w:val="000000"/>
              </w:rPr>
            </w:pPr>
            <w:r w:rsidRPr="00514C06">
              <w:rPr>
                <w:rFonts w:ascii="Times New Roman" w:eastAsia="Times New Roman" w:hAnsi="Times New Roman" w:cs="Times New Roman"/>
                <w:color w:val="000000"/>
              </w:rPr>
              <w:t>Υπόλοιπη Αθήνα</w:t>
            </w:r>
            <w:r w:rsidRPr="00514C06">
              <w:rPr>
                <w:rFonts w:ascii="Times New Roman" w:eastAsia="Times New Roman" w:hAnsi="Times New Roman" w:cs="Times New Roman"/>
                <w:b/>
                <w:bCs/>
                <w:color w:val="000000"/>
              </w:rPr>
              <w:t xml:space="preserve">- Πτώση </w:t>
            </w:r>
            <w:r w:rsidRPr="00514C06">
              <w:rPr>
                <w:rFonts w:ascii="Times New Roman" w:eastAsia="Times New Roman" w:hAnsi="Times New Roman" w:cs="Times New Roman"/>
                <w:color w:val="000000"/>
              </w:rPr>
              <w:t>11-20%</w:t>
            </w:r>
          </w:p>
        </w:tc>
      </w:tr>
      <w:tr w:rsidR="0043576F" w:rsidRPr="00514C06" w:rsidTr="0043576F">
        <w:trPr>
          <w:trHeight w:val="509"/>
        </w:trPr>
        <w:tc>
          <w:tcPr>
            <w:tcW w:w="3968" w:type="dxa"/>
            <w:vMerge w:val="restart"/>
            <w:tcBorders>
              <w:top w:val="nil"/>
              <w:left w:val="single" w:sz="8" w:space="0" w:color="auto"/>
              <w:bottom w:val="single" w:sz="8" w:space="0" w:color="000000"/>
              <w:right w:val="single" w:sz="8" w:space="0" w:color="auto"/>
            </w:tcBorders>
            <w:shd w:val="clear" w:color="000000" w:fill="FFFFFF"/>
            <w:vAlign w:val="bottom"/>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2.  Ε.Σ.  Θεσσαλονίκης</w:t>
            </w:r>
          </w:p>
        </w:tc>
        <w:tc>
          <w:tcPr>
            <w:tcW w:w="4950" w:type="dxa"/>
            <w:vMerge w:val="restart"/>
            <w:tcBorders>
              <w:top w:val="nil"/>
              <w:left w:val="single" w:sz="8" w:space="0" w:color="auto"/>
              <w:bottom w:val="single" w:sz="8" w:space="0" w:color="000000"/>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11-20%</w:t>
            </w:r>
          </w:p>
        </w:tc>
      </w:tr>
      <w:tr w:rsidR="0043576F" w:rsidRPr="00514C06" w:rsidTr="0043576F">
        <w:trPr>
          <w:trHeight w:val="509"/>
        </w:trPr>
        <w:tc>
          <w:tcPr>
            <w:tcW w:w="3968" w:type="dxa"/>
            <w:vMerge/>
            <w:tcBorders>
              <w:top w:val="nil"/>
              <w:left w:val="single" w:sz="8" w:space="0" w:color="auto"/>
              <w:bottom w:val="single" w:sz="8" w:space="0" w:color="000000"/>
              <w:right w:val="single" w:sz="8" w:space="0" w:color="auto"/>
            </w:tcBorders>
            <w:vAlign w:val="center"/>
            <w:hideMark/>
          </w:tcPr>
          <w:p w:rsidR="0043576F" w:rsidRPr="00514C06" w:rsidRDefault="0043576F" w:rsidP="009978C3">
            <w:pPr>
              <w:spacing w:after="0" w:line="240" w:lineRule="auto"/>
              <w:rPr>
                <w:rFonts w:ascii="Times New Roman" w:eastAsia="Times New Roman" w:hAnsi="Times New Roman" w:cs="Times New Roman"/>
                <w:b/>
                <w:bCs/>
                <w:color w:val="000000"/>
              </w:rPr>
            </w:pPr>
          </w:p>
        </w:tc>
        <w:tc>
          <w:tcPr>
            <w:tcW w:w="4950" w:type="dxa"/>
            <w:vMerge/>
            <w:tcBorders>
              <w:top w:val="nil"/>
              <w:left w:val="single" w:sz="8" w:space="0" w:color="auto"/>
              <w:bottom w:val="single" w:sz="8" w:space="0" w:color="000000"/>
              <w:right w:val="single" w:sz="8" w:space="0" w:color="auto"/>
            </w:tcBorders>
            <w:vAlign w:val="center"/>
            <w:hideMark/>
          </w:tcPr>
          <w:p w:rsidR="0043576F" w:rsidRPr="0043576F" w:rsidRDefault="0043576F" w:rsidP="009978C3">
            <w:pPr>
              <w:spacing w:after="0" w:line="240" w:lineRule="auto"/>
              <w:rPr>
                <w:rFonts w:ascii="Times New Roman" w:eastAsia="Times New Roman" w:hAnsi="Times New Roman" w:cs="Times New Roman"/>
                <w:b/>
                <w:bCs/>
                <w:color w:val="000000" w:themeColor="text1"/>
              </w:rPr>
            </w:pP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3.  Ε.Σ.  Πειραιώς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9338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Πτώση 0%</w:t>
            </w:r>
            <w:r w:rsidR="0043576F" w:rsidRPr="0043576F">
              <w:rPr>
                <w:rFonts w:ascii="Times New Roman" w:hAnsi="Times New Roman" w:cs="Times New Roman"/>
                <w:b/>
                <w:bCs/>
                <w:color w:val="000000" w:themeColor="text1"/>
              </w:rPr>
              <w:t>-10%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4.  Ε.Σ.  Πάτρας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5.  Ε.Σ.  Ηρακλείου</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6.  Ε.Σ.  Χανίων</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11-20%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7.  Ε.Σ.  Βόλου</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11-20%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8.  Ε.Σ.  Λάρισας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9.  Ε.Σ.  Χαλανδρίου</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10.  Ε.Σ.  Παλαιού Φαλήρου</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21-30%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11.  Ε.Σ.  Νίκαιας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11-20%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 xml:space="preserve">12. Ε.Σ. Γαλατσίου </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13.  Ε.Σ.  Ιλίου</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14. Ε.Σ.  Κερατσινίου - Δραπετσώνας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15.  Ε.Σ.  Καλλιθέας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11-20%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16. Ε.Σ.   Μοσχάτου</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11-20%</w:t>
            </w:r>
          </w:p>
        </w:tc>
      </w:tr>
      <w:tr w:rsidR="0043576F" w:rsidRPr="00514C06" w:rsidTr="0043576F">
        <w:trPr>
          <w:trHeight w:val="20"/>
        </w:trPr>
        <w:tc>
          <w:tcPr>
            <w:tcW w:w="3968"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17.  Ε.Σ.  Έδεσσας</w:t>
            </w:r>
          </w:p>
        </w:tc>
        <w:tc>
          <w:tcPr>
            <w:tcW w:w="4950" w:type="dxa"/>
            <w:tcBorders>
              <w:top w:val="single" w:sz="8" w:space="0" w:color="auto"/>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18.  Ε.Σ.  Αμαρουσίου</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11-20%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19.  Ε.Σ.  Ρεθύμνου</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43576F" w:rsidRPr="00514C06" w:rsidTr="0043576F">
        <w:trPr>
          <w:trHeight w:val="20"/>
        </w:trPr>
        <w:tc>
          <w:tcPr>
            <w:tcW w:w="3968" w:type="dxa"/>
            <w:tcBorders>
              <w:top w:val="single" w:sz="8" w:space="0" w:color="auto"/>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20.Ε.Σ Καλαμαριάς</w:t>
            </w:r>
          </w:p>
        </w:tc>
        <w:tc>
          <w:tcPr>
            <w:tcW w:w="4950" w:type="dxa"/>
            <w:tcBorders>
              <w:top w:val="single" w:sz="8" w:space="0" w:color="auto"/>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21.  Ε.Σ.  Θήρας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 xml:space="preserve">22. Ε.Σ Καβάλας </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23.  Ε.Σ.  Γιαννιτσών</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24.  Ε.Σ.  Βέροιας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lastRenderedPageBreak/>
              <w:t>25.Ένωση Εμπόρων-Επαγγελματιών Βιοτεχνών Αγ. Κων/ντίνου</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21-30%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26.  Ε.Σ.  Ναυπλίου</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27.Ε.Σ Αγ.Νικολάου Κρήτης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28.Ε.Σ.Σητείας-Κρήτη</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Άνοδος 1-10%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29.  Ε.Σ.  Κιάτου</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30.  Ε.Σ.  Σύρου</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11-20%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31.  Ε.Σ.  Νάξου</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F045D7" w:rsidRDefault="0043576F">
            <w:pPr>
              <w:jc w:val="center"/>
              <w:rPr>
                <w:rFonts w:ascii="Times New Roman" w:hAnsi="Times New Roman" w:cs="Times New Roman"/>
                <w:b/>
                <w:bCs/>
                <w:color w:val="FF0000"/>
              </w:rPr>
            </w:pPr>
            <w:r w:rsidRPr="00F045D7">
              <w:rPr>
                <w:rFonts w:ascii="Times New Roman" w:hAnsi="Times New Roman" w:cs="Times New Roman"/>
                <w:b/>
                <w:bCs/>
                <w:color w:val="FF0000"/>
              </w:rPr>
              <w:t>Άνοδος 11-20%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32.  Ε.Σ.  Καλαμάτας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33.  Ε.Σ.  Ζακύνθου</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34.  Ε.Σ.  Μυτιλήνης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35.  Ε.Σ.  Λιβαδειάς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11-20%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36.  Ε.Σ.  Αγρινίου</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37.  Ε.Σ.  Πύργου</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11-20%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38.  Ε.Σ.  Καστοριάς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11-20%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39.  Ε.Σ.  Κοζάνης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40.  Ε.Σ.  Πτολεμαΐδας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41.  Ε.Σ.  Ρόδου</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11-20%</w:t>
            </w:r>
          </w:p>
        </w:tc>
      </w:tr>
      <w:tr w:rsidR="0043576F" w:rsidRPr="00514C06" w:rsidTr="0043576F">
        <w:trPr>
          <w:trHeight w:val="20"/>
        </w:trPr>
        <w:tc>
          <w:tcPr>
            <w:tcW w:w="3968" w:type="dxa"/>
            <w:tcBorders>
              <w:top w:val="single" w:sz="8" w:space="0" w:color="auto"/>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42.  Ε.Σ.  Φλώρινας</w:t>
            </w:r>
          </w:p>
        </w:tc>
        <w:tc>
          <w:tcPr>
            <w:tcW w:w="4950" w:type="dxa"/>
            <w:tcBorders>
              <w:top w:val="single" w:sz="8" w:space="0" w:color="auto"/>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11-20%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43.  Ε.Σ.  Χαλκίδας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1-10%</w:t>
            </w:r>
          </w:p>
        </w:tc>
      </w:tr>
      <w:tr w:rsidR="0043576F" w:rsidRPr="00514C06" w:rsidTr="0043576F">
        <w:trPr>
          <w:trHeight w:val="20"/>
        </w:trPr>
        <w:tc>
          <w:tcPr>
            <w:tcW w:w="3968" w:type="dxa"/>
            <w:tcBorders>
              <w:top w:val="single" w:sz="8" w:space="0" w:color="auto"/>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 xml:space="preserve">44.  Ε.Σ.  Τρικάλων </w:t>
            </w:r>
          </w:p>
        </w:tc>
        <w:tc>
          <w:tcPr>
            <w:tcW w:w="4950" w:type="dxa"/>
            <w:tcBorders>
              <w:top w:val="single" w:sz="8" w:space="0" w:color="auto"/>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45.  Ε.Σ.  Ηγουμενίτσας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1-10%</w:t>
            </w:r>
          </w:p>
        </w:tc>
      </w:tr>
      <w:tr w:rsidR="0043576F" w:rsidRPr="00514C06" w:rsidTr="0043576F">
        <w:trPr>
          <w:trHeight w:val="20"/>
        </w:trPr>
        <w:tc>
          <w:tcPr>
            <w:tcW w:w="3968" w:type="dxa"/>
            <w:tcBorders>
              <w:top w:val="single" w:sz="8" w:space="0" w:color="auto"/>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46.  Ε.Σ.  Αλεξανδρούπολης</w:t>
            </w:r>
          </w:p>
        </w:tc>
        <w:tc>
          <w:tcPr>
            <w:tcW w:w="4950" w:type="dxa"/>
            <w:tcBorders>
              <w:top w:val="single" w:sz="8" w:space="0" w:color="auto"/>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47.  Ε.Σ.  Ιεράπετρας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48.  Ε.Σ.  Θηβών</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11-20%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49.  Ε.Σ.  Λαμίας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11-20%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50.  Ε.Σ.  Λευκάδας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43576F" w:rsidRPr="0043576F" w:rsidRDefault="0043576F" w:rsidP="0043576F">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51.  Ε.Σ.  Ιωαννίνων</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11-20%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43576F" w:rsidRPr="0043576F" w:rsidRDefault="0043576F" w:rsidP="00305F39">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5</w:t>
            </w:r>
            <w:r w:rsidR="00305F39">
              <w:rPr>
                <w:rFonts w:ascii="Times New Roman" w:eastAsia="Times New Roman" w:hAnsi="Times New Roman" w:cs="Times New Roman"/>
                <w:b/>
                <w:bCs/>
                <w:color w:val="000000"/>
              </w:rPr>
              <w:t>2</w:t>
            </w:r>
            <w:r w:rsidRPr="0043576F">
              <w:rPr>
                <w:rFonts w:ascii="Times New Roman" w:eastAsia="Times New Roman" w:hAnsi="Times New Roman" w:cs="Times New Roman"/>
                <w:b/>
                <w:bCs/>
                <w:color w:val="000000"/>
              </w:rPr>
              <w:t>.  Ε.Σ.  Σερρών</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305F39">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5</w:t>
            </w:r>
            <w:r w:rsidR="00305F39">
              <w:rPr>
                <w:rFonts w:ascii="Times New Roman" w:eastAsia="Times New Roman" w:hAnsi="Times New Roman" w:cs="Times New Roman"/>
                <w:b/>
                <w:bCs/>
                <w:color w:val="000000"/>
              </w:rPr>
              <w:t>3</w:t>
            </w:r>
            <w:r w:rsidRPr="0043576F">
              <w:rPr>
                <w:rFonts w:ascii="Times New Roman" w:eastAsia="Times New Roman" w:hAnsi="Times New Roman" w:cs="Times New Roman"/>
                <w:b/>
                <w:bCs/>
                <w:color w:val="000000"/>
              </w:rPr>
              <w:t xml:space="preserve">.  Ε.Σ.  Κομοτηνής </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11-20%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305F39">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lastRenderedPageBreak/>
              <w:t>5</w:t>
            </w:r>
            <w:r w:rsidR="00305F39">
              <w:rPr>
                <w:rFonts w:ascii="Times New Roman" w:eastAsia="Times New Roman" w:hAnsi="Times New Roman" w:cs="Times New Roman"/>
                <w:b/>
                <w:bCs/>
                <w:color w:val="000000"/>
              </w:rPr>
              <w:t>4</w:t>
            </w:r>
            <w:r w:rsidRPr="0043576F">
              <w:rPr>
                <w:rFonts w:ascii="Times New Roman" w:eastAsia="Times New Roman" w:hAnsi="Times New Roman" w:cs="Times New Roman"/>
                <w:b/>
                <w:bCs/>
                <w:color w:val="000000"/>
              </w:rPr>
              <w:t>.  Ε.Σ.  Κατερίνης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11-20%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305F39">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5</w:t>
            </w:r>
            <w:r w:rsidR="00305F39">
              <w:rPr>
                <w:rFonts w:ascii="Times New Roman" w:eastAsia="Times New Roman" w:hAnsi="Times New Roman" w:cs="Times New Roman"/>
                <w:b/>
                <w:bCs/>
                <w:color w:val="000000"/>
              </w:rPr>
              <w:t>5</w:t>
            </w:r>
            <w:r w:rsidRPr="0043576F">
              <w:rPr>
                <w:rFonts w:ascii="Times New Roman" w:eastAsia="Times New Roman" w:hAnsi="Times New Roman" w:cs="Times New Roman"/>
                <w:b/>
                <w:bCs/>
                <w:color w:val="000000"/>
              </w:rPr>
              <w:t>.  Ε.Σ.  Σάμου</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21-30%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305F39">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5</w:t>
            </w:r>
            <w:r w:rsidR="00305F39">
              <w:rPr>
                <w:rFonts w:ascii="Times New Roman" w:eastAsia="Times New Roman" w:hAnsi="Times New Roman" w:cs="Times New Roman"/>
                <w:b/>
                <w:bCs/>
                <w:color w:val="000000"/>
              </w:rPr>
              <w:t>6</w:t>
            </w:r>
            <w:r w:rsidRPr="0043576F">
              <w:rPr>
                <w:rFonts w:ascii="Times New Roman" w:eastAsia="Times New Roman" w:hAnsi="Times New Roman" w:cs="Times New Roman"/>
                <w:b/>
                <w:bCs/>
                <w:color w:val="000000"/>
              </w:rPr>
              <w:t>.  Ε.Σ.  Δράμας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305F39">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5</w:t>
            </w:r>
            <w:r w:rsidR="00305F39">
              <w:rPr>
                <w:rFonts w:ascii="Times New Roman" w:eastAsia="Times New Roman" w:hAnsi="Times New Roman" w:cs="Times New Roman"/>
                <w:b/>
                <w:bCs/>
                <w:color w:val="000000"/>
              </w:rPr>
              <w:t>7</w:t>
            </w:r>
            <w:r w:rsidRPr="0043576F">
              <w:rPr>
                <w:rFonts w:ascii="Times New Roman" w:eastAsia="Times New Roman" w:hAnsi="Times New Roman" w:cs="Times New Roman"/>
                <w:b/>
                <w:bCs/>
                <w:color w:val="000000"/>
              </w:rPr>
              <w:t>.  Ε.Σ.  Ξάνθης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11-20%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305F39">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5</w:t>
            </w:r>
            <w:r w:rsidR="00305F39">
              <w:rPr>
                <w:rFonts w:ascii="Times New Roman" w:eastAsia="Times New Roman" w:hAnsi="Times New Roman" w:cs="Times New Roman"/>
                <w:b/>
                <w:bCs/>
                <w:color w:val="000000"/>
              </w:rPr>
              <w:t>8</w:t>
            </w:r>
            <w:r w:rsidRPr="0043576F">
              <w:rPr>
                <w:rFonts w:ascii="Times New Roman" w:eastAsia="Times New Roman" w:hAnsi="Times New Roman" w:cs="Times New Roman"/>
                <w:b/>
                <w:bCs/>
                <w:color w:val="000000"/>
              </w:rPr>
              <w:t>. Ε.Σ Ελασσόνας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305F39" w:rsidP="0043576F">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59</w:t>
            </w:r>
            <w:r w:rsidR="0043576F" w:rsidRPr="0043576F">
              <w:rPr>
                <w:rFonts w:ascii="Times New Roman" w:eastAsia="Times New Roman" w:hAnsi="Times New Roman" w:cs="Times New Roman"/>
                <w:b/>
                <w:bCs/>
                <w:color w:val="000000"/>
              </w:rPr>
              <w:t>.</w:t>
            </w:r>
            <w:r w:rsidR="004631CC">
              <w:rPr>
                <w:rFonts w:ascii="Times New Roman" w:eastAsia="Times New Roman" w:hAnsi="Times New Roman" w:cs="Times New Roman"/>
                <w:b/>
                <w:bCs/>
                <w:color w:val="000000"/>
                <w:lang w:val="en-US"/>
              </w:rPr>
              <w:t xml:space="preserve"> </w:t>
            </w:r>
            <w:r w:rsidR="0043576F" w:rsidRPr="0043576F">
              <w:rPr>
                <w:rFonts w:ascii="Times New Roman" w:eastAsia="Times New Roman" w:hAnsi="Times New Roman" w:cs="Times New Roman"/>
                <w:b/>
                <w:bCs/>
                <w:color w:val="000000"/>
              </w:rPr>
              <w:t>Ε.Σ Λήμνου</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305F39" w:rsidP="0043576F">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60</w:t>
            </w:r>
            <w:r w:rsidR="0043576F" w:rsidRPr="0043576F">
              <w:rPr>
                <w:rFonts w:ascii="Times New Roman" w:eastAsia="Times New Roman" w:hAnsi="Times New Roman" w:cs="Times New Roman"/>
                <w:b/>
                <w:bCs/>
                <w:color w:val="000000"/>
              </w:rPr>
              <w:t>.  Ε.Σ.  Πάρου</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305F39">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6</w:t>
            </w:r>
            <w:r w:rsidR="00305F39">
              <w:rPr>
                <w:rFonts w:ascii="Times New Roman" w:eastAsia="Times New Roman" w:hAnsi="Times New Roman" w:cs="Times New Roman"/>
                <w:b/>
                <w:bCs/>
                <w:color w:val="000000"/>
              </w:rPr>
              <w:t>1</w:t>
            </w:r>
            <w:r w:rsidRPr="0043576F">
              <w:rPr>
                <w:rFonts w:ascii="Times New Roman" w:eastAsia="Times New Roman" w:hAnsi="Times New Roman" w:cs="Times New Roman"/>
                <w:b/>
                <w:bCs/>
                <w:color w:val="000000"/>
              </w:rPr>
              <w:t>. Ε.Σ Άργους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305F39">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6</w:t>
            </w:r>
            <w:r w:rsidR="00305F39">
              <w:rPr>
                <w:rFonts w:ascii="Times New Roman" w:eastAsia="Times New Roman" w:hAnsi="Times New Roman" w:cs="Times New Roman"/>
                <w:b/>
                <w:bCs/>
                <w:color w:val="000000"/>
              </w:rPr>
              <w:t>2</w:t>
            </w:r>
            <w:r w:rsidRPr="0043576F">
              <w:rPr>
                <w:rFonts w:ascii="Times New Roman" w:eastAsia="Times New Roman" w:hAnsi="Times New Roman" w:cs="Times New Roman"/>
                <w:b/>
                <w:bCs/>
                <w:color w:val="000000"/>
              </w:rPr>
              <w:t>. Ε.Σ Σπάρτης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1-10%</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305F39">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6</w:t>
            </w:r>
            <w:r w:rsidR="00305F39">
              <w:rPr>
                <w:rFonts w:ascii="Times New Roman" w:eastAsia="Times New Roman" w:hAnsi="Times New Roman" w:cs="Times New Roman"/>
                <w:b/>
                <w:bCs/>
                <w:color w:val="000000"/>
              </w:rPr>
              <w:t>3</w:t>
            </w:r>
            <w:r w:rsidRPr="0043576F">
              <w:rPr>
                <w:rFonts w:ascii="Times New Roman" w:eastAsia="Times New Roman" w:hAnsi="Times New Roman" w:cs="Times New Roman"/>
                <w:b/>
                <w:bCs/>
                <w:color w:val="000000"/>
              </w:rPr>
              <w:t>. Ε.Σ Τρίπολης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43576F"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43576F" w:rsidRPr="0043576F" w:rsidRDefault="0043576F" w:rsidP="00305F39">
            <w:pPr>
              <w:spacing w:after="0" w:line="240" w:lineRule="auto"/>
              <w:rPr>
                <w:rFonts w:ascii="Times New Roman" w:eastAsia="Times New Roman" w:hAnsi="Times New Roman" w:cs="Times New Roman"/>
                <w:b/>
                <w:bCs/>
                <w:color w:val="000000"/>
              </w:rPr>
            </w:pPr>
            <w:r w:rsidRPr="0043576F">
              <w:rPr>
                <w:rFonts w:ascii="Times New Roman" w:eastAsia="Times New Roman" w:hAnsi="Times New Roman" w:cs="Times New Roman"/>
                <w:b/>
                <w:bCs/>
                <w:color w:val="000000"/>
              </w:rPr>
              <w:t>6</w:t>
            </w:r>
            <w:r w:rsidR="00305F39">
              <w:rPr>
                <w:rFonts w:ascii="Times New Roman" w:eastAsia="Times New Roman" w:hAnsi="Times New Roman" w:cs="Times New Roman"/>
                <w:b/>
                <w:bCs/>
                <w:color w:val="000000"/>
              </w:rPr>
              <w:t>4</w:t>
            </w:r>
            <w:r w:rsidRPr="0043576F">
              <w:rPr>
                <w:rFonts w:ascii="Times New Roman" w:eastAsia="Times New Roman" w:hAnsi="Times New Roman" w:cs="Times New Roman"/>
                <w:b/>
                <w:bCs/>
                <w:color w:val="000000"/>
              </w:rPr>
              <w:t xml:space="preserve">. </w:t>
            </w:r>
            <w:r w:rsidR="00C16793">
              <w:rPr>
                <w:rFonts w:ascii="Times New Roman" w:eastAsia="Times New Roman" w:hAnsi="Times New Roman" w:cs="Times New Roman"/>
                <w:b/>
                <w:bCs/>
                <w:color w:val="000000"/>
              </w:rPr>
              <w:t xml:space="preserve">Ε.Σ. </w:t>
            </w:r>
            <w:r w:rsidRPr="0043576F">
              <w:rPr>
                <w:rFonts w:ascii="Times New Roman" w:eastAsia="Times New Roman" w:hAnsi="Times New Roman" w:cs="Times New Roman"/>
                <w:b/>
                <w:bCs/>
                <w:color w:val="000000"/>
              </w:rPr>
              <w:t>Κέρκυρα</w:t>
            </w:r>
            <w:r w:rsidR="00C16793">
              <w:rPr>
                <w:rFonts w:ascii="Times New Roman" w:eastAsia="Times New Roman" w:hAnsi="Times New Roman" w:cs="Times New Roman"/>
                <w:b/>
                <w:bCs/>
                <w:color w:val="000000"/>
              </w:rPr>
              <w:t>ς</w:t>
            </w:r>
          </w:p>
        </w:tc>
        <w:tc>
          <w:tcPr>
            <w:tcW w:w="4950" w:type="dxa"/>
            <w:tcBorders>
              <w:top w:val="nil"/>
              <w:left w:val="nil"/>
              <w:bottom w:val="single" w:sz="8" w:space="0" w:color="auto"/>
              <w:right w:val="single" w:sz="8" w:space="0" w:color="auto"/>
            </w:tcBorders>
            <w:shd w:val="clear" w:color="000000" w:fill="FFFFFF"/>
            <w:vAlign w:val="bottom"/>
            <w:hideMark/>
          </w:tcPr>
          <w:p w:rsidR="0043576F" w:rsidRPr="0043576F" w:rsidRDefault="0043576F">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ΣΤΑ ΙΔΙΑ ΕΠΙΠΕΔΑ</w:t>
            </w:r>
          </w:p>
        </w:tc>
      </w:tr>
      <w:tr w:rsidR="00BE6DB9"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BE6DB9" w:rsidRPr="0043576F" w:rsidRDefault="00BE6DB9" w:rsidP="00305F39">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6</w:t>
            </w:r>
            <w:r w:rsidR="00305F39">
              <w:rPr>
                <w:rFonts w:ascii="Times New Roman" w:eastAsia="Times New Roman" w:hAnsi="Times New Roman" w:cs="Times New Roman"/>
                <w:b/>
                <w:bCs/>
                <w:color w:val="000000"/>
              </w:rPr>
              <w:t>5</w:t>
            </w:r>
            <w:r>
              <w:rPr>
                <w:rFonts w:ascii="Times New Roman" w:eastAsia="Times New Roman" w:hAnsi="Times New Roman" w:cs="Times New Roman"/>
                <w:b/>
                <w:bCs/>
                <w:color w:val="000000"/>
              </w:rPr>
              <w:t>. Ε.Σ Ν.Ιωνίας</w:t>
            </w:r>
          </w:p>
        </w:tc>
        <w:tc>
          <w:tcPr>
            <w:tcW w:w="4950" w:type="dxa"/>
            <w:tcBorders>
              <w:top w:val="nil"/>
              <w:left w:val="nil"/>
              <w:bottom w:val="single" w:sz="8" w:space="0" w:color="auto"/>
              <w:right w:val="single" w:sz="8" w:space="0" w:color="auto"/>
            </w:tcBorders>
            <w:shd w:val="clear" w:color="000000" w:fill="FFFFFF"/>
            <w:vAlign w:val="bottom"/>
            <w:hideMark/>
          </w:tcPr>
          <w:p w:rsidR="00BE6DB9" w:rsidRPr="0043576F" w:rsidRDefault="00BE6DB9">
            <w:pPr>
              <w:jc w:val="center"/>
              <w:rPr>
                <w:rFonts w:ascii="Times New Roman" w:hAnsi="Times New Roman" w:cs="Times New Roman"/>
                <w:b/>
                <w:bCs/>
                <w:color w:val="000000" w:themeColor="text1"/>
              </w:rPr>
            </w:pPr>
            <w:r w:rsidRPr="0043576F">
              <w:rPr>
                <w:rFonts w:ascii="Times New Roman" w:hAnsi="Times New Roman" w:cs="Times New Roman"/>
                <w:b/>
                <w:bCs/>
                <w:color w:val="000000" w:themeColor="text1"/>
              </w:rPr>
              <w:t>Πτώση 11-20%</w:t>
            </w:r>
          </w:p>
        </w:tc>
      </w:tr>
      <w:tr w:rsidR="00BE6DB9"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BE6DB9" w:rsidRDefault="00BE6DB9" w:rsidP="00305F39">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6</w:t>
            </w:r>
            <w:r w:rsidR="00305F39">
              <w:rPr>
                <w:rFonts w:ascii="Times New Roman" w:eastAsia="Times New Roman" w:hAnsi="Times New Roman" w:cs="Times New Roman"/>
                <w:b/>
                <w:bCs/>
                <w:color w:val="000000"/>
              </w:rPr>
              <w:t>6</w:t>
            </w:r>
            <w:r>
              <w:rPr>
                <w:rFonts w:ascii="Times New Roman" w:eastAsia="Times New Roman" w:hAnsi="Times New Roman" w:cs="Times New Roman"/>
                <w:b/>
                <w:bCs/>
                <w:color w:val="000000"/>
              </w:rPr>
              <w:t>. Ε.Σ Κορίνθου</w:t>
            </w:r>
          </w:p>
        </w:tc>
        <w:tc>
          <w:tcPr>
            <w:tcW w:w="4950" w:type="dxa"/>
            <w:tcBorders>
              <w:top w:val="nil"/>
              <w:left w:val="nil"/>
              <w:bottom w:val="single" w:sz="8" w:space="0" w:color="auto"/>
              <w:right w:val="single" w:sz="8" w:space="0" w:color="auto"/>
            </w:tcBorders>
            <w:shd w:val="clear" w:color="000000" w:fill="FFFFFF"/>
            <w:vAlign w:val="bottom"/>
            <w:hideMark/>
          </w:tcPr>
          <w:p w:rsidR="00BE6DB9" w:rsidRPr="0043576F" w:rsidRDefault="00BE6DB9">
            <w:pPr>
              <w:jc w:val="center"/>
              <w:rPr>
                <w:rFonts w:ascii="Times New Roman" w:hAnsi="Times New Roman" w:cs="Times New Roman"/>
                <w:b/>
                <w:bCs/>
                <w:color w:val="000000" w:themeColor="text1"/>
              </w:rPr>
            </w:pPr>
            <w:r>
              <w:rPr>
                <w:rFonts w:ascii="Times New Roman" w:hAnsi="Times New Roman" w:cs="Times New Roman"/>
                <w:b/>
                <w:bCs/>
                <w:color w:val="000000" w:themeColor="text1"/>
              </w:rPr>
              <w:t>Πτώση 1 – 10%</w:t>
            </w:r>
          </w:p>
        </w:tc>
      </w:tr>
      <w:tr w:rsidR="00BE6DB9"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BE6DB9" w:rsidRDefault="00BE6DB9" w:rsidP="00305F39">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6</w:t>
            </w:r>
            <w:r w:rsidR="00305F39">
              <w:rPr>
                <w:rFonts w:ascii="Times New Roman" w:eastAsia="Times New Roman" w:hAnsi="Times New Roman" w:cs="Times New Roman"/>
                <w:b/>
                <w:bCs/>
                <w:color w:val="000000"/>
              </w:rPr>
              <w:t>7</w:t>
            </w:r>
            <w:r>
              <w:rPr>
                <w:rFonts w:ascii="Times New Roman" w:eastAsia="Times New Roman" w:hAnsi="Times New Roman" w:cs="Times New Roman"/>
                <w:b/>
                <w:bCs/>
                <w:color w:val="000000"/>
              </w:rPr>
              <w:t>. Ε.Σ Καρδίτσας</w:t>
            </w:r>
          </w:p>
        </w:tc>
        <w:tc>
          <w:tcPr>
            <w:tcW w:w="4950" w:type="dxa"/>
            <w:tcBorders>
              <w:top w:val="nil"/>
              <w:left w:val="nil"/>
              <w:bottom w:val="single" w:sz="8" w:space="0" w:color="auto"/>
              <w:right w:val="single" w:sz="8" w:space="0" w:color="auto"/>
            </w:tcBorders>
            <w:shd w:val="clear" w:color="000000" w:fill="FFFFFF"/>
            <w:vAlign w:val="bottom"/>
            <w:hideMark/>
          </w:tcPr>
          <w:p w:rsidR="00BE6DB9" w:rsidRDefault="00BE6DB9">
            <w:pPr>
              <w:jc w:val="center"/>
              <w:rPr>
                <w:rFonts w:ascii="Times New Roman" w:hAnsi="Times New Roman" w:cs="Times New Roman"/>
                <w:b/>
                <w:bCs/>
                <w:color w:val="000000" w:themeColor="text1"/>
              </w:rPr>
            </w:pPr>
            <w:r>
              <w:rPr>
                <w:rFonts w:ascii="Times New Roman" w:hAnsi="Times New Roman" w:cs="Times New Roman"/>
                <w:b/>
                <w:bCs/>
                <w:color w:val="000000" w:themeColor="text1"/>
              </w:rPr>
              <w:t>Πτώση 1 – 10%</w:t>
            </w:r>
          </w:p>
        </w:tc>
      </w:tr>
      <w:tr w:rsidR="00B31B6D" w:rsidRPr="00514C06" w:rsidTr="0043576F">
        <w:trPr>
          <w:trHeight w:val="20"/>
        </w:trPr>
        <w:tc>
          <w:tcPr>
            <w:tcW w:w="3968" w:type="dxa"/>
            <w:tcBorders>
              <w:top w:val="nil"/>
              <w:left w:val="single" w:sz="8" w:space="0" w:color="auto"/>
              <w:bottom w:val="single" w:sz="8" w:space="0" w:color="auto"/>
              <w:right w:val="single" w:sz="8" w:space="0" w:color="auto"/>
            </w:tcBorders>
            <w:shd w:val="clear" w:color="000000" w:fill="FFFFFF"/>
            <w:hideMark/>
          </w:tcPr>
          <w:p w:rsidR="00B31B6D" w:rsidRDefault="00B31B6D" w:rsidP="00305F39">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6</w:t>
            </w:r>
            <w:r w:rsidR="00305F39">
              <w:rPr>
                <w:rFonts w:ascii="Times New Roman" w:eastAsia="Times New Roman" w:hAnsi="Times New Roman" w:cs="Times New Roman"/>
                <w:b/>
                <w:bCs/>
                <w:color w:val="000000"/>
              </w:rPr>
              <w:t>8</w:t>
            </w:r>
            <w:r>
              <w:rPr>
                <w:rFonts w:ascii="Times New Roman" w:eastAsia="Times New Roman" w:hAnsi="Times New Roman" w:cs="Times New Roman"/>
                <w:b/>
                <w:bCs/>
                <w:color w:val="000000"/>
              </w:rPr>
              <w:t>. Ε.Σ</w:t>
            </w:r>
            <w:r w:rsidR="00D878A6">
              <w:rPr>
                <w:rFonts w:ascii="Times New Roman" w:eastAsia="Times New Roman" w:hAnsi="Times New Roman" w:cs="Times New Roman"/>
                <w:b/>
                <w:bCs/>
                <w:color w:val="000000"/>
              </w:rPr>
              <w:t xml:space="preserve"> Γλυφάδας</w:t>
            </w:r>
          </w:p>
        </w:tc>
        <w:tc>
          <w:tcPr>
            <w:tcW w:w="4950" w:type="dxa"/>
            <w:tcBorders>
              <w:top w:val="nil"/>
              <w:left w:val="nil"/>
              <w:bottom w:val="single" w:sz="8" w:space="0" w:color="auto"/>
              <w:right w:val="single" w:sz="8" w:space="0" w:color="auto"/>
            </w:tcBorders>
            <w:shd w:val="clear" w:color="000000" w:fill="FFFFFF"/>
            <w:vAlign w:val="bottom"/>
            <w:hideMark/>
          </w:tcPr>
          <w:p w:rsidR="00B31B6D" w:rsidRDefault="00D878A6">
            <w:pPr>
              <w:jc w:val="center"/>
              <w:rPr>
                <w:rFonts w:ascii="Times New Roman" w:hAnsi="Times New Roman" w:cs="Times New Roman"/>
                <w:b/>
                <w:bCs/>
                <w:color w:val="000000" w:themeColor="text1"/>
              </w:rPr>
            </w:pPr>
            <w:r>
              <w:rPr>
                <w:rFonts w:ascii="Times New Roman" w:hAnsi="Times New Roman" w:cs="Times New Roman"/>
                <w:b/>
                <w:bCs/>
                <w:color w:val="000000" w:themeColor="text1"/>
              </w:rPr>
              <w:t>Πτώση 1 – 10%</w:t>
            </w:r>
          </w:p>
        </w:tc>
      </w:tr>
      <w:tr w:rsidR="00764F00" w:rsidRPr="00514C06" w:rsidTr="0043576F">
        <w:trPr>
          <w:trHeight w:val="20"/>
        </w:trPr>
        <w:tc>
          <w:tcPr>
            <w:tcW w:w="3968" w:type="dxa"/>
            <w:tcBorders>
              <w:top w:val="single" w:sz="8" w:space="0" w:color="auto"/>
              <w:left w:val="single" w:sz="8" w:space="0" w:color="auto"/>
              <w:bottom w:val="single" w:sz="8" w:space="0" w:color="auto"/>
              <w:right w:val="single" w:sz="8" w:space="0" w:color="auto"/>
            </w:tcBorders>
            <w:shd w:val="clear" w:color="000000" w:fill="BFBFBF" w:themeFill="background1" w:themeFillShade="BF"/>
            <w:vAlign w:val="bottom"/>
            <w:hideMark/>
          </w:tcPr>
          <w:p w:rsidR="00764F00" w:rsidRPr="00AB45DF" w:rsidRDefault="00764F00" w:rsidP="00BE6DB9">
            <w:pPr>
              <w:spacing w:after="0" w:line="240" w:lineRule="auto"/>
              <w:jc w:val="center"/>
              <w:rPr>
                <w:rFonts w:ascii="Calibri" w:eastAsia="Times New Roman" w:hAnsi="Calibri" w:cs="Times New Roman"/>
                <w:b/>
                <w:bCs/>
                <w:color w:val="000000"/>
              </w:rPr>
            </w:pPr>
            <w:r w:rsidRPr="00AB45DF">
              <w:rPr>
                <w:rFonts w:ascii="Calibri" w:eastAsia="Times New Roman" w:hAnsi="Calibri" w:cs="Times New Roman"/>
                <w:b/>
                <w:bCs/>
                <w:color w:val="000000"/>
              </w:rPr>
              <w:t>ΜΕΣΟΣ ΟΡΟΣ ΠΤΩΣΗΣ</w:t>
            </w:r>
          </w:p>
        </w:tc>
        <w:tc>
          <w:tcPr>
            <w:tcW w:w="4950" w:type="dxa"/>
            <w:tcBorders>
              <w:top w:val="single" w:sz="8" w:space="0" w:color="auto"/>
              <w:left w:val="nil"/>
              <w:bottom w:val="single" w:sz="8" w:space="0" w:color="auto"/>
              <w:right w:val="single" w:sz="8" w:space="0" w:color="auto"/>
            </w:tcBorders>
            <w:shd w:val="clear" w:color="000000" w:fill="BFBFBF" w:themeFill="background1" w:themeFillShade="BF"/>
            <w:vAlign w:val="bottom"/>
            <w:hideMark/>
          </w:tcPr>
          <w:p w:rsidR="00764F00" w:rsidRPr="00AB45DF" w:rsidRDefault="0043576F" w:rsidP="00BE6DB9">
            <w:pPr>
              <w:spacing w:after="0" w:line="240" w:lineRule="auto"/>
              <w:jc w:val="center"/>
              <w:rPr>
                <w:rFonts w:ascii="Times New Roman" w:eastAsia="Times New Roman" w:hAnsi="Times New Roman" w:cs="Times New Roman"/>
                <w:b/>
                <w:bCs/>
                <w:color w:val="000000"/>
              </w:rPr>
            </w:pPr>
            <w:r w:rsidRPr="00AB45DF">
              <w:rPr>
                <w:rFonts w:ascii="Times New Roman" w:eastAsia="Times New Roman" w:hAnsi="Times New Roman" w:cs="Times New Roman"/>
                <w:b/>
                <w:bCs/>
                <w:color w:val="000000"/>
              </w:rPr>
              <w:t>11,5</w:t>
            </w:r>
            <w:r w:rsidR="00764F00" w:rsidRPr="00AB45DF">
              <w:rPr>
                <w:rFonts w:ascii="Times New Roman" w:eastAsia="Times New Roman" w:hAnsi="Times New Roman" w:cs="Times New Roman"/>
                <w:b/>
                <w:bCs/>
                <w:color w:val="000000"/>
              </w:rPr>
              <w:t>%</w:t>
            </w:r>
          </w:p>
        </w:tc>
      </w:tr>
    </w:tbl>
    <w:p w:rsidR="00CF1E5D" w:rsidRPr="005F591A" w:rsidRDefault="00CF1E5D" w:rsidP="00CF1E5D">
      <w:pPr>
        <w:jc w:val="both"/>
      </w:pPr>
    </w:p>
    <w:sectPr w:rsidR="00CF1E5D" w:rsidRPr="005F591A" w:rsidSect="00C75ED4">
      <w:footerReference w:type="default" r:id="rId24"/>
      <w:pgSz w:w="11906" w:h="16838"/>
      <w:pgMar w:top="709" w:right="17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4E" w:rsidRDefault="00532B4E" w:rsidP="003355BE">
      <w:pPr>
        <w:spacing w:after="0" w:line="240" w:lineRule="auto"/>
      </w:pPr>
      <w:r>
        <w:separator/>
      </w:r>
    </w:p>
  </w:endnote>
  <w:endnote w:type="continuationSeparator" w:id="0">
    <w:p w:rsidR="00532B4E" w:rsidRDefault="00532B4E" w:rsidP="0033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F UI Display">
    <w:altName w:val="Times New Roman"/>
    <w:panose1 w:val="00000000000000000000"/>
    <w:charset w:val="00"/>
    <w:family w:val="roman"/>
    <w:notTrueType/>
    <w:pitch w:val="default"/>
  </w:font>
  <w:font w:name=".SFUIDisplay-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545469"/>
      <w:docPartObj>
        <w:docPartGallery w:val="Page Numbers (Bottom of Page)"/>
        <w:docPartUnique/>
      </w:docPartObj>
    </w:sdtPr>
    <w:sdtEndPr/>
    <w:sdtContent>
      <w:p w:rsidR="00F93522" w:rsidRDefault="00276D35">
        <w:pPr>
          <w:pStyle w:val="a5"/>
          <w:jc w:val="right"/>
        </w:pPr>
        <w:r>
          <w:fldChar w:fldCharType="begin"/>
        </w:r>
        <w:r>
          <w:instrText xml:space="preserve"> PAGE   \* MERGEFORMAT </w:instrText>
        </w:r>
        <w:r>
          <w:fldChar w:fldCharType="separate"/>
        </w:r>
        <w:r w:rsidR="006C06A4">
          <w:rPr>
            <w:noProof/>
          </w:rPr>
          <w:t>2</w:t>
        </w:r>
        <w:r>
          <w:rPr>
            <w:noProof/>
          </w:rPr>
          <w:fldChar w:fldCharType="end"/>
        </w:r>
      </w:p>
    </w:sdtContent>
  </w:sdt>
  <w:p w:rsidR="00F93522" w:rsidRDefault="00F935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4E" w:rsidRDefault="00532B4E" w:rsidP="003355BE">
      <w:pPr>
        <w:spacing w:after="0" w:line="240" w:lineRule="auto"/>
      </w:pPr>
      <w:r>
        <w:separator/>
      </w:r>
    </w:p>
  </w:footnote>
  <w:footnote w:type="continuationSeparator" w:id="0">
    <w:p w:rsidR="00532B4E" w:rsidRDefault="00532B4E" w:rsidP="00335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60650"/>
    <w:multiLevelType w:val="hybridMultilevel"/>
    <w:tmpl w:val="AAECC1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02541F"/>
    <w:multiLevelType w:val="hybridMultilevel"/>
    <w:tmpl w:val="B93CC1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7651080"/>
    <w:multiLevelType w:val="hybridMultilevel"/>
    <w:tmpl w:val="79AEAF10"/>
    <w:lvl w:ilvl="0" w:tplc="00000001">
      <w:start w:val="1"/>
      <w:numFmt w:val="bullet"/>
      <w:lvlText w:val=""/>
      <w:lvlJc w:val="left"/>
      <w:pPr>
        <w:ind w:left="720" w:hanging="360"/>
      </w:pPr>
      <w:rPr>
        <w:rFonts w:ascii="Symbol" w:hAnsi="Symbol" w:cs="Symbol"/>
        <w:sz w:val="28"/>
        <w:szCs w:val="28"/>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27727805"/>
    <w:multiLevelType w:val="hybridMultilevel"/>
    <w:tmpl w:val="6408E30C"/>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5">
    <w:nsid w:val="37A9084A"/>
    <w:multiLevelType w:val="hybridMultilevel"/>
    <w:tmpl w:val="690C5D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7DB19E7"/>
    <w:multiLevelType w:val="hybridMultilevel"/>
    <w:tmpl w:val="EA6AACF4"/>
    <w:lvl w:ilvl="0" w:tplc="87CC16A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8277DE6"/>
    <w:multiLevelType w:val="hybridMultilevel"/>
    <w:tmpl w:val="6E320A02"/>
    <w:lvl w:ilvl="0" w:tplc="87CC16A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91778C9"/>
    <w:multiLevelType w:val="hybridMultilevel"/>
    <w:tmpl w:val="0B7840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00A7F61"/>
    <w:multiLevelType w:val="hybridMultilevel"/>
    <w:tmpl w:val="F1D047B6"/>
    <w:lvl w:ilvl="0" w:tplc="371EF540">
      <w:start w:val="1"/>
      <w:numFmt w:val="decimal"/>
      <w:lvlText w:val="%1."/>
      <w:lvlJc w:val="left"/>
      <w:pPr>
        <w:tabs>
          <w:tab w:val="num" w:pos="740"/>
        </w:tabs>
        <w:ind w:left="740" w:hanging="38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0">
    <w:nsid w:val="49F618B0"/>
    <w:multiLevelType w:val="hybridMultilevel"/>
    <w:tmpl w:val="B1A462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C593A18"/>
    <w:multiLevelType w:val="hybridMultilevel"/>
    <w:tmpl w:val="F296FE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C964C78"/>
    <w:multiLevelType w:val="hybridMultilevel"/>
    <w:tmpl w:val="CB5C0406"/>
    <w:lvl w:ilvl="0" w:tplc="87CC16A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DBB33A5"/>
    <w:multiLevelType w:val="hybridMultilevel"/>
    <w:tmpl w:val="00285EE8"/>
    <w:lvl w:ilvl="0" w:tplc="87CC16A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1B54C93"/>
    <w:multiLevelType w:val="hybridMultilevel"/>
    <w:tmpl w:val="CD828A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80D2643"/>
    <w:multiLevelType w:val="hybridMultilevel"/>
    <w:tmpl w:val="47DE984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5C2D763B"/>
    <w:multiLevelType w:val="hybridMultilevel"/>
    <w:tmpl w:val="FFE6C850"/>
    <w:lvl w:ilvl="0" w:tplc="04080013">
      <w:start w:val="1"/>
      <w:numFmt w:val="upperRoman"/>
      <w:lvlText w:val="%1."/>
      <w:lvlJc w:val="righ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5C5315DE"/>
    <w:multiLevelType w:val="hybridMultilevel"/>
    <w:tmpl w:val="3A089026"/>
    <w:lvl w:ilvl="0" w:tplc="04090001">
      <w:start w:val="1"/>
      <w:numFmt w:val="bullet"/>
      <w:lvlText w:val=""/>
      <w:lvlJc w:val="left"/>
      <w:pPr>
        <w:ind w:left="14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DCA5E29"/>
    <w:multiLevelType w:val="hybridMultilevel"/>
    <w:tmpl w:val="08E8092A"/>
    <w:lvl w:ilvl="0" w:tplc="87CC16A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46C12F1"/>
    <w:multiLevelType w:val="hybridMultilevel"/>
    <w:tmpl w:val="4D342C2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nsid w:val="7E526933"/>
    <w:multiLevelType w:val="hybridMultilevel"/>
    <w:tmpl w:val="3E0E140E"/>
    <w:lvl w:ilvl="0" w:tplc="87CC16A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E6B17A4"/>
    <w:multiLevelType w:val="hybridMultilevel"/>
    <w:tmpl w:val="CC9E5FA8"/>
    <w:lvl w:ilvl="0" w:tplc="00000001">
      <w:start w:val="1"/>
      <w:numFmt w:val="bullet"/>
      <w:lvlText w:val=""/>
      <w:lvlJc w:val="left"/>
      <w:pPr>
        <w:ind w:left="720" w:hanging="360"/>
      </w:pPr>
      <w:rPr>
        <w:rFonts w:ascii="Symbol" w:hAnsi="Symbol" w:cs="Symbol"/>
        <w:sz w:val="28"/>
        <w:szCs w:val="28"/>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4"/>
  </w:num>
  <w:num w:numId="2">
    <w:abstractNumId w:val="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
  </w:num>
  <w:num w:numId="23">
    <w:abstractNumId w:val="16"/>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E9"/>
    <w:rsid w:val="00006A75"/>
    <w:rsid w:val="00012D5A"/>
    <w:rsid w:val="00014A56"/>
    <w:rsid w:val="0002389D"/>
    <w:rsid w:val="000310A5"/>
    <w:rsid w:val="00042C30"/>
    <w:rsid w:val="00052138"/>
    <w:rsid w:val="00055B89"/>
    <w:rsid w:val="00060AEF"/>
    <w:rsid w:val="00066F46"/>
    <w:rsid w:val="0007480A"/>
    <w:rsid w:val="00084AF3"/>
    <w:rsid w:val="000A099E"/>
    <w:rsid w:val="000A1414"/>
    <w:rsid w:val="000A2184"/>
    <w:rsid w:val="000B64CE"/>
    <w:rsid w:val="000C05B0"/>
    <w:rsid w:val="000D0B5E"/>
    <w:rsid w:val="00103F08"/>
    <w:rsid w:val="00116558"/>
    <w:rsid w:val="001252FD"/>
    <w:rsid w:val="0012713B"/>
    <w:rsid w:val="0013351D"/>
    <w:rsid w:val="00147C1C"/>
    <w:rsid w:val="001566A7"/>
    <w:rsid w:val="0016634E"/>
    <w:rsid w:val="0016708A"/>
    <w:rsid w:val="00171921"/>
    <w:rsid w:val="0017799A"/>
    <w:rsid w:val="001800DB"/>
    <w:rsid w:val="001852DF"/>
    <w:rsid w:val="00192158"/>
    <w:rsid w:val="00194683"/>
    <w:rsid w:val="001A1235"/>
    <w:rsid w:val="001A4487"/>
    <w:rsid w:val="001D3663"/>
    <w:rsid w:val="001E69B3"/>
    <w:rsid w:val="001F1252"/>
    <w:rsid w:val="00202F87"/>
    <w:rsid w:val="002124F2"/>
    <w:rsid w:val="00214255"/>
    <w:rsid w:val="00223067"/>
    <w:rsid w:val="00225CEA"/>
    <w:rsid w:val="00226BE7"/>
    <w:rsid w:val="00234DE0"/>
    <w:rsid w:val="00242D90"/>
    <w:rsid w:val="0025003D"/>
    <w:rsid w:val="00251B6E"/>
    <w:rsid w:val="002561D7"/>
    <w:rsid w:val="00263C7E"/>
    <w:rsid w:val="00275F27"/>
    <w:rsid w:val="00276D35"/>
    <w:rsid w:val="00284E5C"/>
    <w:rsid w:val="00294BD8"/>
    <w:rsid w:val="00294CA7"/>
    <w:rsid w:val="002A28C6"/>
    <w:rsid w:val="002A4488"/>
    <w:rsid w:val="002A484A"/>
    <w:rsid w:val="002A5116"/>
    <w:rsid w:val="002B4907"/>
    <w:rsid w:val="002C47CB"/>
    <w:rsid w:val="002C67FA"/>
    <w:rsid w:val="002D04E4"/>
    <w:rsid w:val="002E3D01"/>
    <w:rsid w:val="002F3649"/>
    <w:rsid w:val="002F4C2E"/>
    <w:rsid w:val="002F73B6"/>
    <w:rsid w:val="002F7FFD"/>
    <w:rsid w:val="00304653"/>
    <w:rsid w:val="00305351"/>
    <w:rsid w:val="00305A16"/>
    <w:rsid w:val="00305F39"/>
    <w:rsid w:val="003153A3"/>
    <w:rsid w:val="00315D1D"/>
    <w:rsid w:val="00326570"/>
    <w:rsid w:val="00332B9B"/>
    <w:rsid w:val="00333957"/>
    <w:rsid w:val="003355BE"/>
    <w:rsid w:val="00337A00"/>
    <w:rsid w:val="0034621C"/>
    <w:rsid w:val="00347B06"/>
    <w:rsid w:val="00353F7E"/>
    <w:rsid w:val="003563E0"/>
    <w:rsid w:val="0035793C"/>
    <w:rsid w:val="00357CB1"/>
    <w:rsid w:val="0036208C"/>
    <w:rsid w:val="00363259"/>
    <w:rsid w:val="00364DC5"/>
    <w:rsid w:val="00372531"/>
    <w:rsid w:val="003A422E"/>
    <w:rsid w:val="003A76FD"/>
    <w:rsid w:val="003B1973"/>
    <w:rsid w:val="003B6526"/>
    <w:rsid w:val="003B7942"/>
    <w:rsid w:val="003C0D75"/>
    <w:rsid w:val="003F50E1"/>
    <w:rsid w:val="00401EB4"/>
    <w:rsid w:val="00405DA0"/>
    <w:rsid w:val="00413080"/>
    <w:rsid w:val="004240F1"/>
    <w:rsid w:val="0043576F"/>
    <w:rsid w:val="0043712D"/>
    <w:rsid w:val="004427EB"/>
    <w:rsid w:val="00451E24"/>
    <w:rsid w:val="004631CC"/>
    <w:rsid w:val="00464454"/>
    <w:rsid w:val="00476E6F"/>
    <w:rsid w:val="00481FA2"/>
    <w:rsid w:val="0049338C"/>
    <w:rsid w:val="004A3235"/>
    <w:rsid w:val="004A75ED"/>
    <w:rsid w:val="004B158C"/>
    <w:rsid w:val="004B1639"/>
    <w:rsid w:val="004B36E4"/>
    <w:rsid w:val="004B4636"/>
    <w:rsid w:val="004C1745"/>
    <w:rsid w:val="004C5792"/>
    <w:rsid w:val="004D0518"/>
    <w:rsid w:val="004D4874"/>
    <w:rsid w:val="004D6B47"/>
    <w:rsid w:val="004E081A"/>
    <w:rsid w:val="004F0261"/>
    <w:rsid w:val="004F4AAB"/>
    <w:rsid w:val="004F56EE"/>
    <w:rsid w:val="00503FA5"/>
    <w:rsid w:val="00513171"/>
    <w:rsid w:val="0051692D"/>
    <w:rsid w:val="00516B4D"/>
    <w:rsid w:val="0052054C"/>
    <w:rsid w:val="00532176"/>
    <w:rsid w:val="005328CB"/>
    <w:rsid w:val="00532B4E"/>
    <w:rsid w:val="00540468"/>
    <w:rsid w:val="0054348D"/>
    <w:rsid w:val="0054562C"/>
    <w:rsid w:val="005502A1"/>
    <w:rsid w:val="005508CC"/>
    <w:rsid w:val="00552288"/>
    <w:rsid w:val="00571891"/>
    <w:rsid w:val="00573EE5"/>
    <w:rsid w:val="00582926"/>
    <w:rsid w:val="00582E63"/>
    <w:rsid w:val="005855C7"/>
    <w:rsid w:val="00587DD8"/>
    <w:rsid w:val="00591083"/>
    <w:rsid w:val="00592D5C"/>
    <w:rsid w:val="00594899"/>
    <w:rsid w:val="00594A88"/>
    <w:rsid w:val="005A6C79"/>
    <w:rsid w:val="005A7FB4"/>
    <w:rsid w:val="005B0F0E"/>
    <w:rsid w:val="005B1D76"/>
    <w:rsid w:val="005C567A"/>
    <w:rsid w:val="005C7A60"/>
    <w:rsid w:val="005E767F"/>
    <w:rsid w:val="005F0D93"/>
    <w:rsid w:val="005F5867"/>
    <w:rsid w:val="00607FB4"/>
    <w:rsid w:val="00611272"/>
    <w:rsid w:val="00620178"/>
    <w:rsid w:val="0062166F"/>
    <w:rsid w:val="006258F0"/>
    <w:rsid w:val="00632ABB"/>
    <w:rsid w:val="006427C6"/>
    <w:rsid w:val="006463DA"/>
    <w:rsid w:val="0065278F"/>
    <w:rsid w:val="00654A6F"/>
    <w:rsid w:val="00657094"/>
    <w:rsid w:val="00670299"/>
    <w:rsid w:val="006717ED"/>
    <w:rsid w:val="006732AC"/>
    <w:rsid w:val="006931AF"/>
    <w:rsid w:val="0069638F"/>
    <w:rsid w:val="006C06A4"/>
    <w:rsid w:val="006C4DA4"/>
    <w:rsid w:val="006C52E7"/>
    <w:rsid w:val="006C556E"/>
    <w:rsid w:val="006C5B34"/>
    <w:rsid w:val="006C7C5C"/>
    <w:rsid w:val="006D6336"/>
    <w:rsid w:val="006E54C5"/>
    <w:rsid w:val="006F0993"/>
    <w:rsid w:val="006F5E1C"/>
    <w:rsid w:val="007133C3"/>
    <w:rsid w:val="00720ED3"/>
    <w:rsid w:val="00723500"/>
    <w:rsid w:val="00725624"/>
    <w:rsid w:val="00727CB2"/>
    <w:rsid w:val="00727D28"/>
    <w:rsid w:val="007427F3"/>
    <w:rsid w:val="00742B5E"/>
    <w:rsid w:val="00751BFB"/>
    <w:rsid w:val="00764F00"/>
    <w:rsid w:val="007650AD"/>
    <w:rsid w:val="007707EF"/>
    <w:rsid w:val="00776F9A"/>
    <w:rsid w:val="0078329E"/>
    <w:rsid w:val="007833B3"/>
    <w:rsid w:val="0079679A"/>
    <w:rsid w:val="007B1D34"/>
    <w:rsid w:val="007B3A41"/>
    <w:rsid w:val="007B3CD9"/>
    <w:rsid w:val="007C4341"/>
    <w:rsid w:val="007C4C09"/>
    <w:rsid w:val="007C5C44"/>
    <w:rsid w:val="007E19E0"/>
    <w:rsid w:val="007E3107"/>
    <w:rsid w:val="007F099E"/>
    <w:rsid w:val="007F2CB1"/>
    <w:rsid w:val="00826ED4"/>
    <w:rsid w:val="008309C2"/>
    <w:rsid w:val="00843996"/>
    <w:rsid w:val="00847D49"/>
    <w:rsid w:val="00850CF6"/>
    <w:rsid w:val="00866814"/>
    <w:rsid w:val="00873F55"/>
    <w:rsid w:val="00874156"/>
    <w:rsid w:val="00877433"/>
    <w:rsid w:val="00884B70"/>
    <w:rsid w:val="00895476"/>
    <w:rsid w:val="008B0698"/>
    <w:rsid w:val="008B1171"/>
    <w:rsid w:val="008B451B"/>
    <w:rsid w:val="008D44B8"/>
    <w:rsid w:val="008D5644"/>
    <w:rsid w:val="008F2605"/>
    <w:rsid w:val="00910DC8"/>
    <w:rsid w:val="009120C2"/>
    <w:rsid w:val="00915945"/>
    <w:rsid w:val="009203A7"/>
    <w:rsid w:val="00922B65"/>
    <w:rsid w:val="009236C1"/>
    <w:rsid w:val="0093083B"/>
    <w:rsid w:val="00933EFF"/>
    <w:rsid w:val="009367AD"/>
    <w:rsid w:val="00947930"/>
    <w:rsid w:val="0095065F"/>
    <w:rsid w:val="0095373F"/>
    <w:rsid w:val="0095629A"/>
    <w:rsid w:val="00957079"/>
    <w:rsid w:val="009725F1"/>
    <w:rsid w:val="00975166"/>
    <w:rsid w:val="0098030C"/>
    <w:rsid w:val="009978C3"/>
    <w:rsid w:val="009A09E8"/>
    <w:rsid w:val="009B3363"/>
    <w:rsid w:val="009C1F9E"/>
    <w:rsid w:val="009C208A"/>
    <w:rsid w:val="009C236E"/>
    <w:rsid w:val="009C7E61"/>
    <w:rsid w:val="009D2F8D"/>
    <w:rsid w:val="009D4227"/>
    <w:rsid w:val="009D6079"/>
    <w:rsid w:val="009E20B1"/>
    <w:rsid w:val="009F45FD"/>
    <w:rsid w:val="009F69FE"/>
    <w:rsid w:val="00A007A4"/>
    <w:rsid w:val="00A01679"/>
    <w:rsid w:val="00A03F30"/>
    <w:rsid w:val="00A13D1F"/>
    <w:rsid w:val="00A2219D"/>
    <w:rsid w:val="00A24371"/>
    <w:rsid w:val="00A30520"/>
    <w:rsid w:val="00A32244"/>
    <w:rsid w:val="00A459C6"/>
    <w:rsid w:val="00A53766"/>
    <w:rsid w:val="00A578BF"/>
    <w:rsid w:val="00A81AD3"/>
    <w:rsid w:val="00A83FF4"/>
    <w:rsid w:val="00AA29D2"/>
    <w:rsid w:val="00AA5359"/>
    <w:rsid w:val="00AA78EF"/>
    <w:rsid w:val="00AB29E4"/>
    <w:rsid w:val="00AB45DF"/>
    <w:rsid w:val="00AC00A6"/>
    <w:rsid w:val="00AE0F14"/>
    <w:rsid w:val="00AE2857"/>
    <w:rsid w:val="00AF066D"/>
    <w:rsid w:val="00AF1500"/>
    <w:rsid w:val="00B02D33"/>
    <w:rsid w:val="00B050CA"/>
    <w:rsid w:val="00B103BC"/>
    <w:rsid w:val="00B31B6D"/>
    <w:rsid w:val="00B32244"/>
    <w:rsid w:val="00B35389"/>
    <w:rsid w:val="00B63C90"/>
    <w:rsid w:val="00B734AE"/>
    <w:rsid w:val="00B7592E"/>
    <w:rsid w:val="00B77FDD"/>
    <w:rsid w:val="00BB63AC"/>
    <w:rsid w:val="00BC3F79"/>
    <w:rsid w:val="00BE6DB9"/>
    <w:rsid w:val="00BF13E6"/>
    <w:rsid w:val="00BF1D72"/>
    <w:rsid w:val="00BF7604"/>
    <w:rsid w:val="00C001C4"/>
    <w:rsid w:val="00C028C5"/>
    <w:rsid w:val="00C0315E"/>
    <w:rsid w:val="00C15755"/>
    <w:rsid w:val="00C15CE9"/>
    <w:rsid w:val="00C16793"/>
    <w:rsid w:val="00C22A27"/>
    <w:rsid w:val="00C242E4"/>
    <w:rsid w:val="00C30346"/>
    <w:rsid w:val="00C326BC"/>
    <w:rsid w:val="00C34D2C"/>
    <w:rsid w:val="00C459C0"/>
    <w:rsid w:val="00C51C9E"/>
    <w:rsid w:val="00C667D6"/>
    <w:rsid w:val="00C66A7D"/>
    <w:rsid w:val="00C70810"/>
    <w:rsid w:val="00C75ED4"/>
    <w:rsid w:val="00CB4F30"/>
    <w:rsid w:val="00CC1AED"/>
    <w:rsid w:val="00CC3B05"/>
    <w:rsid w:val="00CC4B5B"/>
    <w:rsid w:val="00CD00F6"/>
    <w:rsid w:val="00CD013C"/>
    <w:rsid w:val="00CD0E67"/>
    <w:rsid w:val="00CD1521"/>
    <w:rsid w:val="00CE21C8"/>
    <w:rsid w:val="00CE2D76"/>
    <w:rsid w:val="00CE50A9"/>
    <w:rsid w:val="00CE6300"/>
    <w:rsid w:val="00CF1872"/>
    <w:rsid w:val="00CF1E5D"/>
    <w:rsid w:val="00D14BF6"/>
    <w:rsid w:val="00D31D8D"/>
    <w:rsid w:val="00D31EAF"/>
    <w:rsid w:val="00D44554"/>
    <w:rsid w:val="00D450E5"/>
    <w:rsid w:val="00D455DF"/>
    <w:rsid w:val="00D55A03"/>
    <w:rsid w:val="00D6348E"/>
    <w:rsid w:val="00D675DA"/>
    <w:rsid w:val="00D705A5"/>
    <w:rsid w:val="00D77F34"/>
    <w:rsid w:val="00D828D0"/>
    <w:rsid w:val="00D843AD"/>
    <w:rsid w:val="00D878A6"/>
    <w:rsid w:val="00D9113E"/>
    <w:rsid w:val="00D919D0"/>
    <w:rsid w:val="00D92396"/>
    <w:rsid w:val="00D92E9C"/>
    <w:rsid w:val="00DB5613"/>
    <w:rsid w:val="00DC0B16"/>
    <w:rsid w:val="00DC705B"/>
    <w:rsid w:val="00DD0A5A"/>
    <w:rsid w:val="00DD4951"/>
    <w:rsid w:val="00DD57DA"/>
    <w:rsid w:val="00DE628D"/>
    <w:rsid w:val="00DE7773"/>
    <w:rsid w:val="00DF6337"/>
    <w:rsid w:val="00E06593"/>
    <w:rsid w:val="00E208D2"/>
    <w:rsid w:val="00E23BF1"/>
    <w:rsid w:val="00E24FFE"/>
    <w:rsid w:val="00E3059A"/>
    <w:rsid w:val="00E33195"/>
    <w:rsid w:val="00E528AA"/>
    <w:rsid w:val="00E55E01"/>
    <w:rsid w:val="00E60B0B"/>
    <w:rsid w:val="00E64512"/>
    <w:rsid w:val="00E67A81"/>
    <w:rsid w:val="00E70D7A"/>
    <w:rsid w:val="00E71E65"/>
    <w:rsid w:val="00E77EB5"/>
    <w:rsid w:val="00E8466D"/>
    <w:rsid w:val="00E84A80"/>
    <w:rsid w:val="00E96015"/>
    <w:rsid w:val="00EA2BF8"/>
    <w:rsid w:val="00EA5EE2"/>
    <w:rsid w:val="00EB3C2E"/>
    <w:rsid w:val="00EC4733"/>
    <w:rsid w:val="00EC608F"/>
    <w:rsid w:val="00EE18AA"/>
    <w:rsid w:val="00EF2778"/>
    <w:rsid w:val="00EF4E21"/>
    <w:rsid w:val="00EF5ACF"/>
    <w:rsid w:val="00EF63A1"/>
    <w:rsid w:val="00F045D7"/>
    <w:rsid w:val="00F04F00"/>
    <w:rsid w:val="00F25316"/>
    <w:rsid w:val="00F273D9"/>
    <w:rsid w:val="00F410FE"/>
    <w:rsid w:val="00F54E69"/>
    <w:rsid w:val="00F604CA"/>
    <w:rsid w:val="00F72521"/>
    <w:rsid w:val="00F80423"/>
    <w:rsid w:val="00F92E99"/>
    <w:rsid w:val="00F93522"/>
    <w:rsid w:val="00F93FB6"/>
    <w:rsid w:val="00FA421E"/>
    <w:rsid w:val="00FA6F60"/>
    <w:rsid w:val="00FB609B"/>
    <w:rsid w:val="00FC472D"/>
    <w:rsid w:val="00FD2B15"/>
    <w:rsid w:val="00FD2D80"/>
    <w:rsid w:val="00FD66C7"/>
    <w:rsid w:val="00FE1EEE"/>
    <w:rsid w:val="00FE24CE"/>
    <w:rsid w:val="00FE5F4C"/>
    <w:rsid w:val="00FE6090"/>
    <w:rsid w:val="00FF17D7"/>
    <w:rsid w:val="00FF3E75"/>
    <w:rsid w:val="00FF43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qFormat/>
    <w:rsid w:val="00E06593"/>
    <w:pPr>
      <w:keepNext/>
      <w:keepLines/>
      <w:spacing w:before="200" w:after="0"/>
      <w:outlineLvl w:val="1"/>
    </w:pPr>
    <w:rPr>
      <w:rFonts w:ascii="Cambria" w:eastAsia="Calibri"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5CE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15CE9"/>
    <w:rPr>
      <w:rFonts w:ascii="Tahoma" w:hAnsi="Tahoma" w:cs="Tahoma"/>
      <w:sz w:val="16"/>
      <w:szCs w:val="16"/>
    </w:rPr>
  </w:style>
  <w:style w:type="paragraph" w:styleId="a4">
    <w:name w:val="header"/>
    <w:basedOn w:val="a"/>
    <w:link w:val="Char0"/>
    <w:uiPriority w:val="99"/>
    <w:semiHidden/>
    <w:unhideWhenUsed/>
    <w:rsid w:val="003355BE"/>
    <w:pPr>
      <w:tabs>
        <w:tab w:val="center" w:pos="4153"/>
        <w:tab w:val="right" w:pos="8306"/>
      </w:tabs>
      <w:spacing w:after="0" w:line="240" w:lineRule="auto"/>
    </w:pPr>
  </w:style>
  <w:style w:type="character" w:customStyle="1" w:styleId="Char0">
    <w:name w:val="Κεφαλίδα Char"/>
    <w:basedOn w:val="a0"/>
    <w:link w:val="a4"/>
    <w:uiPriority w:val="99"/>
    <w:semiHidden/>
    <w:rsid w:val="003355BE"/>
  </w:style>
  <w:style w:type="paragraph" w:styleId="a5">
    <w:name w:val="footer"/>
    <w:basedOn w:val="a"/>
    <w:link w:val="Char1"/>
    <w:uiPriority w:val="99"/>
    <w:unhideWhenUsed/>
    <w:rsid w:val="003355BE"/>
    <w:pPr>
      <w:tabs>
        <w:tab w:val="center" w:pos="4153"/>
        <w:tab w:val="right" w:pos="8306"/>
      </w:tabs>
      <w:spacing w:after="0" w:line="240" w:lineRule="auto"/>
    </w:pPr>
  </w:style>
  <w:style w:type="character" w:customStyle="1" w:styleId="Char1">
    <w:name w:val="Υποσέλιδο Char"/>
    <w:basedOn w:val="a0"/>
    <w:link w:val="a5"/>
    <w:uiPriority w:val="99"/>
    <w:rsid w:val="003355BE"/>
  </w:style>
  <w:style w:type="paragraph" w:customStyle="1" w:styleId="s10">
    <w:name w:val="s10"/>
    <w:basedOn w:val="a"/>
    <w:rsid w:val="00532176"/>
    <w:pPr>
      <w:spacing w:before="100" w:beforeAutospacing="1" w:after="100" w:afterAutospacing="1" w:line="240" w:lineRule="auto"/>
    </w:pPr>
    <w:rPr>
      <w:rFonts w:ascii="Times New Roman" w:hAnsi="Times New Roman" w:cs="Times New Roman"/>
      <w:sz w:val="24"/>
      <w:szCs w:val="24"/>
    </w:rPr>
  </w:style>
  <w:style w:type="paragraph" w:customStyle="1" w:styleId="s12">
    <w:name w:val="s12"/>
    <w:basedOn w:val="a"/>
    <w:rsid w:val="00532176"/>
    <w:pPr>
      <w:spacing w:before="100" w:beforeAutospacing="1" w:after="100" w:afterAutospacing="1" w:line="240" w:lineRule="auto"/>
    </w:pPr>
    <w:rPr>
      <w:rFonts w:ascii="Times New Roman" w:hAnsi="Times New Roman" w:cs="Times New Roman"/>
      <w:sz w:val="24"/>
      <w:szCs w:val="24"/>
    </w:rPr>
  </w:style>
  <w:style w:type="character" w:customStyle="1" w:styleId="s9">
    <w:name w:val="s9"/>
    <w:basedOn w:val="a0"/>
    <w:rsid w:val="00532176"/>
  </w:style>
  <w:style w:type="character" w:customStyle="1" w:styleId="s11">
    <w:name w:val="s11"/>
    <w:basedOn w:val="a0"/>
    <w:rsid w:val="00532176"/>
  </w:style>
  <w:style w:type="character" w:customStyle="1" w:styleId="s13">
    <w:name w:val="s13"/>
    <w:basedOn w:val="a0"/>
    <w:rsid w:val="00532176"/>
  </w:style>
  <w:style w:type="paragraph" w:customStyle="1" w:styleId="s5">
    <w:name w:val="s5"/>
    <w:basedOn w:val="a"/>
    <w:rsid w:val="007E3107"/>
    <w:pPr>
      <w:spacing w:before="100" w:beforeAutospacing="1" w:after="100" w:afterAutospacing="1" w:line="240" w:lineRule="auto"/>
    </w:pPr>
    <w:rPr>
      <w:rFonts w:ascii="Times New Roman" w:hAnsi="Times New Roman" w:cs="Times New Roman"/>
      <w:sz w:val="24"/>
      <w:szCs w:val="24"/>
    </w:rPr>
  </w:style>
  <w:style w:type="character" w:customStyle="1" w:styleId="s3">
    <w:name w:val="s3"/>
    <w:basedOn w:val="a0"/>
    <w:rsid w:val="007E3107"/>
  </w:style>
  <w:style w:type="character" w:customStyle="1" w:styleId="s8">
    <w:name w:val="s8"/>
    <w:basedOn w:val="a0"/>
    <w:rsid w:val="007E3107"/>
  </w:style>
  <w:style w:type="paragraph" w:styleId="a6">
    <w:name w:val="List Paragraph"/>
    <w:basedOn w:val="a"/>
    <w:uiPriority w:val="34"/>
    <w:qFormat/>
    <w:rsid w:val="004C1745"/>
    <w:pPr>
      <w:ind w:left="720"/>
      <w:contextualSpacing/>
    </w:pPr>
    <w:rPr>
      <w:rFonts w:ascii="Calibri" w:eastAsia="Calibri" w:hAnsi="Calibri" w:cs="Times New Roman"/>
    </w:rPr>
  </w:style>
  <w:style w:type="paragraph" w:styleId="20">
    <w:name w:val="Body Text Indent 2"/>
    <w:basedOn w:val="a"/>
    <w:link w:val="2Char0"/>
    <w:rsid w:val="001800DB"/>
    <w:pPr>
      <w:spacing w:after="120" w:line="480" w:lineRule="auto"/>
      <w:ind w:left="283"/>
    </w:pPr>
    <w:rPr>
      <w:rFonts w:ascii="Times New Roman" w:eastAsia="Times New Roman" w:hAnsi="Times New Roman" w:cs="Times New Roman"/>
      <w:sz w:val="24"/>
      <w:szCs w:val="24"/>
    </w:rPr>
  </w:style>
  <w:style w:type="character" w:customStyle="1" w:styleId="2Char0">
    <w:name w:val="Σώμα κείμενου με εσοχή 2 Char"/>
    <w:basedOn w:val="a0"/>
    <w:link w:val="20"/>
    <w:rsid w:val="001800DB"/>
    <w:rPr>
      <w:rFonts w:ascii="Times New Roman" w:eastAsia="Times New Roman" w:hAnsi="Times New Roman" w:cs="Times New Roman"/>
      <w:sz w:val="24"/>
      <w:szCs w:val="24"/>
      <w:lang w:eastAsia="el-GR"/>
    </w:rPr>
  </w:style>
  <w:style w:type="paragraph" w:styleId="Web">
    <w:name w:val="Normal (Web)"/>
    <w:basedOn w:val="a"/>
    <w:uiPriority w:val="99"/>
    <w:unhideWhenUsed/>
    <w:rsid w:val="00552288"/>
    <w:pPr>
      <w:spacing w:before="100" w:beforeAutospacing="1" w:after="100" w:afterAutospacing="1" w:line="240" w:lineRule="auto"/>
    </w:pPr>
    <w:rPr>
      <w:rFonts w:ascii="Times New Roman" w:hAnsi="Times New Roman" w:cs="Times New Roman"/>
      <w:sz w:val="24"/>
      <w:szCs w:val="24"/>
    </w:rPr>
  </w:style>
  <w:style w:type="character" w:styleId="a7">
    <w:name w:val="Emphasis"/>
    <w:basedOn w:val="a0"/>
    <w:qFormat/>
    <w:rsid w:val="00CD00F6"/>
    <w:rPr>
      <w:i/>
      <w:iCs/>
    </w:rPr>
  </w:style>
  <w:style w:type="paragraph" w:customStyle="1" w:styleId="s4">
    <w:name w:val="s4"/>
    <w:basedOn w:val="a"/>
    <w:rsid w:val="005F5867"/>
    <w:pPr>
      <w:spacing w:before="100" w:beforeAutospacing="1" w:after="100" w:afterAutospacing="1" w:line="240" w:lineRule="auto"/>
    </w:pPr>
    <w:rPr>
      <w:rFonts w:ascii="Times New Roman" w:hAnsi="Times New Roman" w:cs="Times New Roman"/>
      <w:sz w:val="24"/>
      <w:szCs w:val="24"/>
    </w:rPr>
  </w:style>
  <w:style w:type="paragraph" w:customStyle="1" w:styleId="yiv3201444370msonormal">
    <w:name w:val="yiv3201444370msonormal"/>
    <w:basedOn w:val="a"/>
    <w:rsid w:val="00654A6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Char2"/>
    <w:uiPriority w:val="99"/>
    <w:semiHidden/>
    <w:unhideWhenUsed/>
    <w:rsid w:val="006C5B34"/>
    <w:pPr>
      <w:spacing w:after="120"/>
    </w:pPr>
  </w:style>
  <w:style w:type="character" w:customStyle="1" w:styleId="Char2">
    <w:name w:val="Σώμα κειμένου Char"/>
    <w:basedOn w:val="a0"/>
    <w:link w:val="a8"/>
    <w:uiPriority w:val="99"/>
    <w:semiHidden/>
    <w:rsid w:val="006C5B34"/>
  </w:style>
  <w:style w:type="paragraph" w:styleId="a9">
    <w:name w:val="caption"/>
    <w:basedOn w:val="a"/>
    <w:next w:val="a"/>
    <w:semiHidden/>
    <w:unhideWhenUsed/>
    <w:qFormat/>
    <w:rsid w:val="006C5B34"/>
    <w:pPr>
      <w:spacing w:after="0" w:line="240" w:lineRule="auto"/>
      <w:jc w:val="center"/>
    </w:pPr>
    <w:rPr>
      <w:rFonts w:ascii="Times New Roman" w:eastAsia="Times New Roman" w:hAnsi="Times New Roman" w:cs="Times New Roman"/>
      <w:b/>
      <w:bCs/>
      <w:i/>
      <w:iCs/>
      <w:sz w:val="24"/>
      <w:szCs w:val="24"/>
    </w:rPr>
  </w:style>
  <w:style w:type="paragraph" w:customStyle="1" w:styleId="s2">
    <w:name w:val="s2"/>
    <w:basedOn w:val="a"/>
    <w:rsid w:val="006C5B34"/>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a0"/>
    <w:rsid w:val="006C5B34"/>
  </w:style>
  <w:style w:type="paragraph" w:styleId="aa">
    <w:name w:val="footnote text"/>
    <w:basedOn w:val="a"/>
    <w:link w:val="Char3"/>
    <w:uiPriority w:val="99"/>
    <w:semiHidden/>
    <w:unhideWhenUsed/>
    <w:rsid w:val="009F69FE"/>
    <w:pPr>
      <w:spacing w:after="0" w:line="240" w:lineRule="auto"/>
    </w:pPr>
    <w:rPr>
      <w:rFonts w:ascii="Times New Roman" w:eastAsia="Times New Roman" w:hAnsi="Times New Roman" w:cs="Times New Roman"/>
      <w:sz w:val="20"/>
      <w:szCs w:val="20"/>
    </w:rPr>
  </w:style>
  <w:style w:type="character" w:customStyle="1" w:styleId="Char3">
    <w:name w:val="Κείμενο υποσημείωσης Char"/>
    <w:basedOn w:val="a0"/>
    <w:link w:val="aa"/>
    <w:uiPriority w:val="99"/>
    <w:semiHidden/>
    <w:rsid w:val="009F69FE"/>
    <w:rPr>
      <w:rFonts w:ascii="Times New Roman" w:eastAsia="Times New Roman" w:hAnsi="Times New Roman" w:cs="Times New Roman"/>
      <w:sz w:val="20"/>
      <w:szCs w:val="20"/>
      <w:lang w:eastAsia="el-GR"/>
    </w:rPr>
  </w:style>
  <w:style w:type="paragraph" w:customStyle="1" w:styleId="TableParagraph">
    <w:name w:val="Table Paragraph"/>
    <w:basedOn w:val="a"/>
    <w:uiPriority w:val="1"/>
    <w:qFormat/>
    <w:rsid w:val="009F69FE"/>
    <w:pPr>
      <w:widowControl w:val="0"/>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basedOn w:val="a0"/>
    <w:uiPriority w:val="99"/>
    <w:semiHidden/>
    <w:unhideWhenUsed/>
    <w:rsid w:val="009F69FE"/>
    <w:rPr>
      <w:vertAlign w:val="superscript"/>
    </w:rPr>
  </w:style>
  <w:style w:type="character" w:styleId="-">
    <w:name w:val="Hyperlink"/>
    <w:basedOn w:val="a0"/>
    <w:uiPriority w:val="99"/>
    <w:semiHidden/>
    <w:unhideWhenUsed/>
    <w:rsid w:val="009F69FE"/>
    <w:rPr>
      <w:color w:val="0000FF"/>
      <w:u w:val="single"/>
    </w:rPr>
  </w:style>
  <w:style w:type="paragraph" w:styleId="ac">
    <w:name w:val="Body Text Indent"/>
    <w:basedOn w:val="a"/>
    <w:link w:val="Char4"/>
    <w:uiPriority w:val="99"/>
    <w:semiHidden/>
    <w:unhideWhenUsed/>
    <w:rsid w:val="009B3363"/>
    <w:pPr>
      <w:spacing w:after="120"/>
      <w:ind w:left="283"/>
    </w:pPr>
  </w:style>
  <w:style w:type="character" w:customStyle="1" w:styleId="Char4">
    <w:name w:val="Σώμα κείμενου με εσοχή Char"/>
    <w:basedOn w:val="a0"/>
    <w:link w:val="ac"/>
    <w:uiPriority w:val="99"/>
    <w:semiHidden/>
    <w:rsid w:val="009B3363"/>
  </w:style>
  <w:style w:type="character" w:styleId="ad">
    <w:name w:val="Strong"/>
    <w:basedOn w:val="a0"/>
    <w:qFormat/>
    <w:rsid w:val="009B3363"/>
    <w:rPr>
      <w:b/>
      <w:bCs/>
    </w:rPr>
  </w:style>
  <w:style w:type="paragraph" w:customStyle="1" w:styleId="s19">
    <w:name w:val="s19"/>
    <w:basedOn w:val="a"/>
    <w:rsid w:val="00E71E65"/>
    <w:pPr>
      <w:spacing w:before="100" w:beforeAutospacing="1" w:after="100" w:afterAutospacing="1" w:line="240" w:lineRule="auto"/>
    </w:pPr>
    <w:rPr>
      <w:rFonts w:ascii="Times New Roman" w:hAnsi="Times New Roman" w:cs="Times New Roman"/>
      <w:sz w:val="24"/>
      <w:szCs w:val="24"/>
    </w:rPr>
  </w:style>
  <w:style w:type="character" w:customStyle="1" w:styleId="s16">
    <w:name w:val="s16"/>
    <w:basedOn w:val="a0"/>
    <w:rsid w:val="00E71E65"/>
  </w:style>
  <w:style w:type="paragraph" w:customStyle="1" w:styleId="s6">
    <w:name w:val="s6"/>
    <w:basedOn w:val="a"/>
    <w:rsid w:val="002124F2"/>
    <w:pPr>
      <w:spacing w:before="100" w:beforeAutospacing="1" w:after="100" w:afterAutospacing="1" w:line="240" w:lineRule="auto"/>
    </w:pPr>
    <w:rPr>
      <w:rFonts w:ascii="Times New Roman" w:hAnsi="Times New Roman" w:cs="Times New Roman"/>
      <w:sz w:val="24"/>
      <w:szCs w:val="24"/>
    </w:rPr>
  </w:style>
  <w:style w:type="character" w:customStyle="1" w:styleId="s7">
    <w:name w:val="s7"/>
    <w:basedOn w:val="a0"/>
    <w:rsid w:val="002124F2"/>
  </w:style>
  <w:style w:type="character" w:customStyle="1" w:styleId="s15">
    <w:name w:val="s15"/>
    <w:basedOn w:val="a0"/>
    <w:rsid w:val="002124F2"/>
  </w:style>
  <w:style w:type="paragraph" w:styleId="21">
    <w:name w:val="Body Text 2"/>
    <w:basedOn w:val="a"/>
    <w:link w:val="2Char1"/>
    <w:uiPriority w:val="99"/>
    <w:semiHidden/>
    <w:unhideWhenUsed/>
    <w:rsid w:val="009120C2"/>
    <w:pPr>
      <w:spacing w:after="120" w:line="480" w:lineRule="auto"/>
    </w:pPr>
  </w:style>
  <w:style w:type="character" w:customStyle="1" w:styleId="2Char1">
    <w:name w:val="Σώμα κείμενου 2 Char"/>
    <w:basedOn w:val="a0"/>
    <w:link w:val="21"/>
    <w:uiPriority w:val="99"/>
    <w:semiHidden/>
    <w:rsid w:val="009120C2"/>
  </w:style>
  <w:style w:type="character" w:customStyle="1" w:styleId="s14">
    <w:name w:val="s14"/>
    <w:basedOn w:val="a0"/>
    <w:rsid w:val="00E64512"/>
  </w:style>
  <w:style w:type="paragraph" w:styleId="ae">
    <w:name w:val="Plain Text"/>
    <w:basedOn w:val="a"/>
    <w:link w:val="Char5"/>
    <w:uiPriority w:val="99"/>
    <w:rsid w:val="00E64512"/>
    <w:pPr>
      <w:spacing w:after="0" w:line="240" w:lineRule="auto"/>
    </w:pPr>
    <w:rPr>
      <w:rFonts w:ascii="Consolas" w:eastAsia="Calibri" w:hAnsi="Consolas" w:cs="Times New Roman"/>
      <w:sz w:val="21"/>
      <w:szCs w:val="21"/>
    </w:rPr>
  </w:style>
  <w:style w:type="character" w:customStyle="1" w:styleId="Char5">
    <w:name w:val="Απλό κείμενο Char"/>
    <w:basedOn w:val="a0"/>
    <w:link w:val="ae"/>
    <w:uiPriority w:val="99"/>
    <w:rsid w:val="00E64512"/>
    <w:rPr>
      <w:rFonts w:ascii="Consolas" w:eastAsia="Calibri" w:hAnsi="Consolas" w:cs="Times New Roman"/>
      <w:sz w:val="21"/>
      <w:szCs w:val="21"/>
    </w:rPr>
  </w:style>
  <w:style w:type="character" w:customStyle="1" w:styleId="2Char">
    <w:name w:val="Επικεφαλίδα 2 Char"/>
    <w:basedOn w:val="a0"/>
    <w:link w:val="2"/>
    <w:rsid w:val="00E06593"/>
    <w:rPr>
      <w:rFonts w:ascii="Cambria" w:eastAsia="Calibri" w:hAnsi="Cambria" w:cs="Times New Roman"/>
      <w:b/>
      <w:bCs/>
      <w:color w:val="4F81BD"/>
      <w:sz w:val="26"/>
      <w:szCs w:val="26"/>
    </w:rPr>
  </w:style>
  <w:style w:type="table" w:styleId="af">
    <w:name w:val="Table Grid"/>
    <w:basedOn w:val="a1"/>
    <w:uiPriority w:val="59"/>
    <w:rsid w:val="00E0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CF1E5D"/>
    <w:pPr>
      <w:spacing w:after="0" w:line="240" w:lineRule="auto"/>
    </w:pPr>
    <w:rPr>
      <w:rFonts w:ascii=".SF UI Display" w:hAnsi=".SF UI Display" w:cs="Times New Roman"/>
      <w:color w:val="454545"/>
      <w:sz w:val="35"/>
      <w:szCs w:val="35"/>
    </w:rPr>
  </w:style>
  <w:style w:type="paragraph" w:customStyle="1" w:styleId="p2">
    <w:name w:val="p2"/>
    <w:basedOn w:val="a"/>
    <w:rsid w:val="00CF1E5D"/>
    <w:pPr>
      <w:spacing w:after="0" w:line="240" w:lineRule="auto"/>
    </w:pPr>
    <w:rPr>
      <w:rFonts w:ascii=".SF UI Display" w:hAnsi=".SF UI Display" w:cs="Times New Roman"/>
      <w:color w:val="454545"/>
      <w:sz w:val="35"/>
      <w:szCs w:val="35"/>
    </w:rPr>
  </w:style>
  <w:style w:type="character" w:customStyle="1" w:styleId="s1">
    <w:name w:val="s1"/>
    <w:basedOn w:val="a0"/>
    <w:rsid w:val="00CF1E5D"/>
    <w:rPr>
      <w:rFonts w:ascii=".SFUIDisplay-Regular" w:hAnsi=".SFUIDisplay-Regular" w:hint="default"/>
      <w:b w:val="0"/>
      <w:bCs w:val="0"/>
      <w:i w:val="0"/>
      <w:iCs w:val="0"/>
      <w:sz w:val="46"/>
      <w:szCs w:val="46"/>
    </w:rPr>
  </w:style>
  <w:style w:type="character" w:customStyle="1" w:styleId="apple-converted-space">
    <w:name w:val="apple-converted-space"/>
    <w:basedOn w:val="a0"/>
    <w:rsid w:val="00CF1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qFormat/>
    <w:rsid w:val="00E06593"/>
    <w:pPr>
      <w:keepNext/>
      <w:keepLines/>
      <w:spacing w:before="200" w:after="0"/>
      <w:outlineLvl w:val="1"/>
    </w:pPr>
    <w:rPr>
      <w:rFonts w:ascii="Cambria" w:eastAsia="Calibri"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5CE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15CE9"/>
    <w:rPr>
      <w:rFonts w:ascii="Tahoma" w:hAnsi="Tahoma" w:cs="Tahoma"/>
      <w:sz w:val="16"/>
      <w:szCs w:val="16"/>
    </w:rPr>
  </w:style>
  <w:style w:type="paragraph" w:styleId="a4">
    <w:name w:val="header"/>
    <w:basedOn w:val="a"/>
    <w:link w:val="Char0"/>
    <w:uiPriority w:val="99"/>
    <w:semiHidden/>
    <w:unhideWhenUsed/>
    <w:rsid w:val="003355BE"/>
    <w:pPr>
      <w:tabs>
        <w:tab w:val="center" w:pos="4153"/>
        <w:tab w:val="right" w:pos="8306"/>
      </w:tabs>
      <w:spacing w:after="0" w:line="240" w:lineRule="auto"/>
    </w:pPr>
  </w:style>
  <w:style w:type="character" w:customStyle="1" w:styleId="Char0">
    <w:name w:val="Κεφαλίδα Char"/>
    <w:basedOn w:val="a0"/>
    <w:link w:val="a4"/>
    <w:uiPriority w:val="99"/>
    <w:semiHidden/>
    <w:rsid w:val="003355BE"/>
  </w:style>
  <w:style w:type="paragraph" w:styleId="a5">
    <w:name w:val="footer"/>
    <w:basedOn w:val="a"/>
    <w:link w:val="Char1"/>
    <w:uiPriority w:val="99"/>
    <w:unhideWhenUsed/>
    <w:rsid w:val="003355BE"/>
    <w:pPr>
      <w:tabs>
        <w:tab w:val="center" w:pos="4153"/>
        <w:tab w:val="right" w:pos="8306"/>
      </w:tabs>
      <w:spacing w:after="0" w:line="240" w:lineRule="auto"/>
    </w:pPr>
  </w:style>
  <w:style w:type="character" w:customStyle="1" w:styleId="Char1">
    <w:name w:val="Υποσέλιδο Char"/>
    <w:basedOn w:val="a0"/>
    <w:link w:val="a5"/>
    <w:uiPriority w:val="99"/>
    <w:rsid w:val="003355BE"/>
  </w:style>
  <w:style w:type="paragraph" w:customStyle="1" w:styleId="s10">
    <w:name w:val="s10"/>
    <w:basedOn w:val="a"/>
    <w:rsid w:val="00532176"/>
    <w:pPr>
      <w:spacing w:before="100" w:beforeAutospacing="1" w:after="100" w:afterAutospacing="1" w:line="240" w:lineRule="auto"/>
    </w:pPr>
    <w:rPr>
      <w:rFonts w:ascii="Times New Roman" w:hAnsi="Times New Roman" w:cs="Times New Roman"/>
      <w:sz w:val="24"/>
      <w:szCs w:val="24"/>
    </w:rPr>
  </w:style>
  <w:style w:type="paragraph" w:customStyle="1" w:styleId="s12">
    <w:name w:val="s12"/>
    <w:basedOn w:val="a"/>
    <w:rsid w:val="00532176"/>
    <w:pPr>
      <w:spacing w:before="100" w:beforeAutospacing="1" w:after="100" w:afterAutospacing="1" w:line="240" w:lineRule="auto"/>
    </w:pPr>
    <w:rPr>
      <w:rFonts w:ascii="Times New Roman" w:hAnsi="Times New Roman" w:cs="Times New Roman"/>
      <w:sz w:val="24"/>
      <w:szCs w:val="24"/>
    </w:rPr>
  </w:style>
  <w:style w:type="character" w:customStyle="1" w:styleId="s9">
    <w:name w:val="s9"/>
    <w:basedOn w:val="a0"/>
    <w:rsid w:val="00532176"/>
  </w:style>
  <w:style w:type="character" w:customStyle="1" w:styleId="s11">
    <w:name w:val="s11"/>
    <w:basedOn w:val="a0"/>
    <w:rsid w:val="00532176"/>
  </w:style>
  <w:style w:type="character" w:customStyle="1" w:styleId="s13">
    <w:name w:val="s13"/>
    <w:basedOn w:val="a0"/>
    <w:rsid w:val="00532176"/>
  </w:style>
  <w:style w:type="paragraph" w:customStyle="1" w:styleId="s5">
    <w:name w:val="s5"/>
    <w:basedOn w:val="a"/>
    <w:rsid w:val="007E3107"/>
    <w:pPr>
      <w:spacing w:before="100" w:beforeAutospacing="1" w:after="100" w:afterAutospacing="1" w:line="240" w:lineRule="auto"/>
    </w:pPr>
    <w:rPr>
      <w:rFonts w:ascii="Times New Roman" w:hAnsi="Times New Roman" w:cs="Times New Roman"/>
      <w:sz w:val="24"/>
      <w:szCs w:val="24"/>
    </w:rPr>
  </w:style>
  <w:style w:type="character" w:customStyle="1" w:styleId="s3">
    <w:name w:val="s3"/>
    <w:basedOn w:val="a0"/>
    <w:rsid w:val="007E3107"/>
  </w:style>
  <w:style w:type="character" w:customStyle="1" w:styleId="s8">
    <w:name w:val="s8"/>
    <w:basedOn w:val="a0"/>
    <w:rsid w:val="007E3107"/>
  </w:style>
  <w:style w:type="paragraph" w:styleId="a6">
    <w:name w:val="List Paragraph"/>
    <w:basedOn w:val="a"/>
    <w:uiPriority w:val="34"/>
    <w:qFormat/>
    <w:rsid w:val="004C1745"/>
    <w:pPr>
      <w:ind w:left="720"/>
      <w:contextualSpacing/>
    </w:pPr>
    <w:rPr>
      <w:rFonts w:ascii="Calibri" w:eastAsia="Calibri" w:hAnsi="Calibri" w:cs="Times New Roman"/>
    </w:rPr>
  </w:style>
  <w:style w:type="paragraph" w:styleId="20">
    <w:name w:val="Body Text Indent 2"/>
    <w:basedOn w:val="a"/>
    <w:link w:val="2Char0"/>
    <w:rsid w:val="001800DB"/>
    <w:pPr>
      <w:spacing w:after="120" w:line="480" w:lineRule="auto"/>
      <w:ind w:left="283"/>
    </w:pPr>
    <w:rPr>
      <w:rFonts w:ascii="Times New Roman" w:eastAsia="Times New Roman" w:hAnsi="Times New Roman" w:cs="Times New Roman"/>
      <w:sz w:val="24"/>
      <w:szCs w:val="24"/>
    </w:rPr>
  </w:style>
  <w:style w:type="character" w:customStyle="1" w:styleId="2Char0">
    <w:name w:val="Σώμα κείμενου με εσοχή 2 Char"/>
    <w:basedOn w:val="a0"/>
    <w:link w:val="20"/>
    <w:rsid w:val="001800DB"/>
    <w:rPr>
      <w:rFonts w:ascii="Times New Roman" w:eastAsia="Times New Roman" w:hAnsi="Times New Roman" w:cs="Times New Roman"/>
      <w:sz w:val="24"/>
      <w:szCs w:val="24"/>
      <w:lang w:eastAsia="el-GR"/>
    </w:rPr>
  </w:style>
  <w:style w:type="paragraph" w:styleId="Web">
    <w:name w:val="Normal (Web)"/>
    <w:basedOn w:val="a"/>
    <w:uiPriority w:val="99"/>
    <w:unhideWhenUsed/>
    <w:rsid w:val="00552288"/>
    <w:pPr>
      <w:spacing w:before="100" w:beforeAutospacing="1" w:after="100" w:afterAutospacing="1" w:line="240" w:lineRule="auto"/>
    </w:pPr>
    <w:rPr>
      <w:rFonts w:ascii="Times New Roman" w:hAnsi="Times New Roman" w:cs="Times New Roman"/>
      <w:sz w:val="24"/>
      <w:szCs w:val="24"/>
    </w:rPr>
  </w:style>
  <w:style w:type="character" w:styleId="a7">
    <w:name w:val="Emphasis"/>
    <w:basedOn w:val="a0"/>
    <w:qFormat/>
    <w:rsid w:val="00CD00F6"/>
    <w:rPr>
      <w:i/>
      <w:iCs/>
    </w:rPr>
  </w:style>
  <w:style w:type="paragraph" w:customStyle="1" w:styleId="s4">
    <w:name w:val="s4"/>
    <w:basedOn w:val="a"/>
    <w:rsid w:val="005F5867"/>
    <w:pPr>
      <w:spacing w:before="100" w:beforeAutospacing="1" w:after="100" w:afterAutospacing="1" w:line="240" w:lineRule="auto"/>
    </w:pPr>
    <w:rPr>
      <w:rFonts w:ascii="Times New Roman" w:hAnsi="Times New Roman" w:cs="Times New Roman"/>
      <w:sz w:val="24"/>
      <w:szCs w:val="24"/>
    </w:rPr>
  </w:style>
  <w:style w:type="paragraph" w:customStyle="1" w:styleId="yiv3201444370msonormal">
    <w:name w:val="yiv3201444370msonormal"/>
    <w:basedOn w:val="a"/>
    <w:rsid w:val="00654A6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Char2"/>
    <w:uiPriority w:val="99"/>
    <w:semiHidden/>
    <w:unhideWhenUsed/>
    <w:rsid w:val="006C5B34"/>
    <w:pPr>
      <w:spacing w:after="120"/>
    </w:pPr>
  </w:style>
  <w:style w:type="character" w:customStyle="1" w:styleId="Char2">
    <w:name w:val="Σώμα κειμένου Char"/>
    <w:basedOn w:val="a0"/>
    <w:link w:val="a8"/>
    <w:uiPriority w:val="99"/>
    <w:semiHidden/>
    <w:rsid w:val="006C5B34"/>
  </w:style>
  <w:style w:type="paragraph" w:styleId="a9">
    <w:name w:val="caption"/>
    <w:basedOn w:val="a"/>
    <w:next w:val="a"/>
    <w:semiHidden/>
    <w:unhideWhenUsed/>
    <w:qFormat/>
    <w:rsid w:val="006C5B34"/>
    <w:pPr>
      <w:spacing w:after="0" w:line="240" w:lineRule="auto"/>
      <w:jc w:val="center"/>
    </w:pPr>
    <w:rPr>
      <w:rFonts w:ascii="Times New Roman" w:eastAsia="Times New Roman" w:hAnsi="Times New Roman" w:cs="Times New Roman"/>
      <w:b/>
      <w:bCs/>
      <w:i/>
      <w:iCs/>
      <w:sz w:val="24"/>
      <w:szCs w:val="24"/>
    </w:rPr>
  </w:style>
  <w:style w:type="paragraph" w:customStyle="1" w:styleId="s2">
    <w:name w:val="s2"/>
    <w:basedOn w:val="a"/>
    <w:rsid w:val="006C5B34"/>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a0"/>
    <w:rsid w:val="006C5B34"/>
  </w:style>
  <w:style w:type="paragraph" w:styleId="aa">
    <w:name w:val="footnote text"/>
    <w:basedOn w:val="a"/>
    <w:link w:val="Char3"/>
    <w:uiPriority w:val="99"/>
    <w:semiHidden/>
    <w:unhideWhenUsed/>
    <w:rsid w:val="009F69FE"/>
    <w:pPr>
      <w:spacing w:after="0" w:line="240" w:lineRule="auto"/>
    </w:pPr>
    <w:rPr>
      <w:rFonts w:ascii="Times New Roman" w:eastAsia="Times New Roman" w:hAnsi="Times New Roman" w:cs="Times New Roman"/>
      <w:sz w:val="20"/>
      <w:szCs w:val="20"/>
    </w:rPr>
  </w:style>
  <w:style w:type="character" w:customStyle="1" w:styleId="Char3">
    <w:name w:val="Κείμενο υποσημείωσης Char"/>
    <w:basedOn w:val="a0"/>
    <w:link w:val="aa"/>
    <w:uiPriority w:val="99"/>
    <w:semiHidden/>
    <w:rsid w:val="009F69FE"/>
    <w:rPr>
      <w:rFonts w:ascii="Times New Roman" w:eastAsia="Times New Roman" w:hAnsi="Times New Roman" w:cs="Times New Roman"/>
      <w:sz w:val="20"/>
      <w:szCs w:val="20"/>
      <w:lang w:eastAsia="el-GR"/>
    </w:rPr>
  </w:style>
  <w:style w:type="paragraph" w:customStyle="1" w:styleId="TableParagraph">
    <w:name w:val="Table Paragraph"/>
    <w:basedOn w:val="a"/>
    <w:uiPriority w:val="1"/>
    <w:qFormat/>
    <w:rsid w:val="009F69FE"/>
    <w:pPr>
      <w:widowControl w:val="0"/>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basedOn w:val="a0"/>
    <w:uiPriority w:val="99"/>
    <w:semiHidden/>
    <w:unhideWhenUsed/>
    <w:rsid w:val="009F69FE"/>
    <w:rPr>
      <w:vertAlign w:val="superscript"/>
    </w:rPr>
  </w:style>
  <w:style w:type="character" w:styleId="-">
    <w:name w:val="Hyperlink"/>
    <w:basedOn w:val="a0"/>
    <w:uiPriority w:val="99"/>
    <w:semiHidden/>
    <w:unhideWhenUsed/>
    <w:rsid w:val="009F69FE"/>
    <w:rPr>
      <w:color w:val="0000FF"/>
      <w:u w:val="single"/>
    </w:rPr>
  </w:style>
  <w:style w:type="paragraph" w:styleId="ac">
    <w:name w:val="Body Text Indent"/>
    <w:basedOn w:val="a"/>
    <w:link w:val="Char4"/>
    <w:uiPriority w:val="99"/>
    <w:semiHidden/>
    <w:unhideWhenUsed/>
    <w:rsid w:val="009B3363"/>
    <w:pPr>
      <w:spacing w:after="120"/>
      <w:ind w:left="283"/>
    </w:pPr>
  </w:style>
  <w:style w:type="character" w:customStyle="1" w:styleId="Char4">
    <w:name w:val="Σώμα κείμενου με εσοχή Char"/>
    <w:basedOn w:val="a0"/>
    <w:link w:val="ac"/>
    <w:uiPriority w:val="99"/>
    <w:semiHidden/>
    <w:rsid w:val="009B3363"/>
  </w:style>
  <w:style w:type="character" w:styleId="ad">
    <w:name w:val="Strong"/>
    <w:basedOn w:val="a0"/>
    <w:qFormat/>
    <w:rsid w:val="009B3363"/>
    <w:rPr>
      <w:b/>
      <w:bCs/>
    </w:rPr>
  </w:style>
  <w:style w:type="paragraph" w:customStyle="1" w:styleId="s19">
    <w:name w:val="s19"/>
    <w:basedOn w:val="a"/>
    <w:rsid w:val="00E71E65"/>
    <w:pPr>
      <w:spacing w:before="100" w:beforeAutospacing="1" w:after="100" w:afterAutospacing="1" w:line="240" w:lineRule="auto"/>
    </w:pPr>
    <w:rPr>
      <w:rFonts w:ascii="Times New Roman" w:hAnsi="Times New Roman" w:cs="Times New Roman"/>
      <w:sz w:val="24"/>
      <w:szCs w:val="24"/>
    </w:rPr>
  </w:style>
  <w:style w:type="character" w:customStyle="1" w:styleId="s16">
    <w:name w:val="s16"/>
    <w:basedOn w:val="a0"/>
    <w:rsid w:val="00E71E65"/>
  </w:style>
  <w:style w:type="paragraph" w:customStyle="1" w:styleId="s6">
    <w:name w:val="s6"/>
    <w:basedOn w:val="a"/>
    <w:rsid w:val="002124F2"/>
    <w:pPr>
      <w:spacing w:before="100" w:beforeAutospacing="1" w:after="100" w:afterAutospacing="1" w:line="240" w:lineRule="auto"/>
    </w:pPr>
    <w:rPr>
      <w:rFonts w:ascii="Times New Roman" w:hAnsi="Times New Roman" w:cs="Times New Roman"/>
      <w:sz w:val="24"/>
      <w:szCs w:val="24"/>
    </w:rPr>
  </w:style>
  <w:style w:type="character" w:customStyle="1" w:styleId="s7">
    <w:name w:val="s7"/>
    <w:basedOn w:val="a0"/>
    <w:rsid w:val="002124F2"/>
  </w:style>
  <w:style w:type="character" w:customStyle="1" w:styleId="s15">
    <w:name w:val="s15"/>
    <w:basedOn w:val="a0"/>
    <w:rsid w:val="002124F2"/>
  </w:style>
  <w:style w:type="paragraph" w:styleId="21">
    <w:name w:val="Body Text 2"/>
    <w:basedOn w:val="a"/>
    <w:link w:val="2Char1"/>
    <w:uiPriority w:val="99"/>
    <w:semiHidden/>
    <w:unhideWhenUsed/>
    <w:rsid w:val="009120C2"/>
    <w:pPr>
      <w:spacing w:after="120" w:line="480" w:lineRule="auto"/>
    </w:pPr>
  </w:style>
  <w:style w:type="character" w:customStyle="1" w:styleId="2Char1">
    <w:name w:val="Σώμα κείμενου 2 Char"/>
    <w:basedOn w:val="a0"/>
    <w:link w:val="21"/>
    <w:uiPriority w:val="99"/>
    <w:semiHidden/>
    <w:rsid w:val="009120C2"/>
  </w:style>
  <w:style w:type="character" w:customStyle="1" w:styleId="s14">
    <w:name w:val="s14"/>
    <w:basedOn w:val="a0"/>
    <w:rsid w:val="00E64512"/>
  </w:style>
  <w:style w:type="paragraph" w:styleId="ae">
    <w:name w:val="Plain Text"/>
    <w:basedOn w:val="a"/>
    <w:link w:val="Char5"/>
    <w:uiPriority w:val="99"/>
    <w:rsid w:val="00E64512"/>
    <w:pPr>
      <w:spacing w:after="0" w:line="240" w:lineRule="auto"/>
    </w:pPr>
    <w:rPr>
      <w:rFonts w:ascii="Consolas" w:eastAsia="Calibri" w:hAnsi="Consolas" w:cs="Times New Roman"/>
      <w:sz w:val="21"/>
      <w:szCs w:val="21"/>
    </w:rPr>
  </w:style>
  <w:style w:type="character" w:customStyle="1" w:styleId="Char5">
    <w:name w:val="Απλό κείμενο Char"/>
    <w:basedOn w:val="a0"/>
    <w:link w:val="ae"/>
    <w:uiPriority w:val="99"/>
    <w:rsid w:val="00E64512"/>
    <w:rPr>
      <w:rFonts w:ascii="Consolas" w:eastAsia="Calibri" w:hAnsi="Consolas" w:cs="Times New Roman"/>
      <w:sz w:val="21"/>
      <w:szCs w:val="21"/>
    </w:rPr>
  </w:style>
  <w:style w:type="character" w:customStyle="1" w:styleId="2Char">
    <w:name w:val="Επικεφαλίδα 2 Char"/>
    <w:basedOn w:val="a0"/>
    <w:link w:val="2"/>
    <w:rsid w:val="00E06593"/>
    <w:rPr>
      <w:rFonts w:ascii="Cambria" w:eastAsia="Calibri" w:hAnsi="Cambria" w:cs="Times New Roman"/>
      <w:b/>
      <w:bCs/>
      <w:color w:val="4F81BD"/>
      <w:sz w:val="26"/>
      <w:szCs w:val="26"/>
    </w:rPr>
  </w:style>
  <w:style w:type="table" w:styleId="af">
    <w:name w:val="Table Grid"/>
    <w:basedOn w:val="a1"/>
    <w:uiPriority w:val="59"/>
    <w:rsid w:val="00E0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CF1E5D"/>
    <w:pPr>
      <w:spacing w:after="0" w:line="240" w:lineRule="auto"/>
    </w:pPr>
    <w:rPr>
      <w:rFonts w:ascii=".SF UI Display" w:hAnsi=".SF UI Display" w:cs="Times New Roman"/>
      <w:color w:val="454545"/>
      <w:sz w:val="35"/>
      <w:szCs w:val="35"/>
    </w:rPr>
  </w:style>
  <w:style w:type="paragraph" w:customStyle="1" w:styleId="p2">
    <w:name w:val="p2"/>
    <w:basedOn w:val="a"/>
    <w:rsid w:val="00CF1E5D"/>
    <w:pPr>
      <w:spacing w:after="0" w:line="240" w:lineRule="auto"/>
    </w:pPr>
    <w:rPr>
      <w:rFonts w:ascii=".SF UI Display" w:hAnsi=".SF UI Display" w:cs="Times New Roman"/>
      <w:color w:val="454545"/>
      <w:sz w:val="35"/>
      <w:szCs w:val="35"/>
    </w:rPr>
  </w:style>
  <w:style w:type="character" w:customStyle="1" w:styleId="s1">
    <w:name w:val="s1"/>
    <w:basedOn w:val="a0"/>
    <w:rsid w:val="00CF1E5D"/>
    <w:rPr>
      <w:rFonts w:ascii=".SFUIDisplay-Regular" w:hAnsi=".SFUIDisplay-Regular" w:hint="default"/>
      <w:b w:val="0"/>
      <w:bCs w:val="0"/>
      <w:i w:val="0"/>
      <w:iCs w:val="0"/>
      <w:sz w:val="46"/>
      <w:szCs w:val="46"/>
    </w:rPr>
  </w:style>
  <w:style w:type="character" w:customStyle="1" w:styleId="apple-converted-space">
    <w:name w:val="apple-converted-space"/>
    <w:basedOn w:val="a0"/>
    <w:rsid w:val="00CF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154">
      <w:bodyDiv w:val="1"/>
      <w:marLeft w:val="0"/>
      <w:marRight w:val="0"/>
      <w:marTop w:val="0"/>
      <w:marBottom w:val="0"/>
      <w:divBdr>
        <w:top w:val="none" w:sz="0" w:space="0" w:color="auto"/>
        <w:left w:val="none" w:sz="0" w:space="0" w:color="auto"/>
        <w:bottom w:val="none" w:sz="0" w:space="0" w:color="auto"/>
        <w:right w:val="none" w:sz="0" w:space="0" w:color="auto"/>
      </w:divBdr>
    </w:div>
    <w:div w:id="35088739">
      <w:bodyDiv w:val="1"/>
      <w:marLeft w:val="0"/>
      <w:marRight w:val="0"/>
      <w:marTop w:val="0"/>
      <w:marBottom w:val="0"/>
      <w:divBdr>
        <w:top w:val="none" w:sz="0" w:space="0" w:color="auto"/>
        <w:left w:val="none" w:sz="0" w:space="0" w:color="auto"/>
        <w:bottom w:val="none" w:sz="0" w:space="0" w:color="auto"/>
        <w:right w:val="none" w:sz="0" w:space="0" w:color="auto"/>
      </w:divBdr>
    </w:div>
    <w:div w:id="59522679">
      <w:bodyDiv w:val="1"/>
      <w:marLeft w:val="0"/>
      <w:marRight w:val="0"/>
      <w:marTop w:val="0"/>
      <w:marBottom w:val="0"/>
      <w:divBdr>
        <w:top w:val="none" w:sz="0" w:space="0" w:color="auto"/>
        <w:left w:val="none" w:sz="0" w:space="0" w:color="auto"/>
        <w:bottom w:val="none" w:sz="0" w:space="0" w:color="auto"/>
        <w:right w:val="none" w:sz="0" w:space="0" w:color="auto"/>
      </w:divBdr>
    </w:div>
    <w:div w:id="163205231">
      <w:bodyDiv w:val="1"/>
      <w:marLeft w:val="0"/>
      <w:marRight w:val="0"/>
      <w:marTop w:val="0"/>
      <w:marBottom w:val="0"/>
      <w:divBdr>
        <w:top w:val="none" w:sz="0" w:space="0" w:color="auto"/>
        <w:left w:val="none" w:sz="0" w:space="0" w:color="auto"/>
        <w:bottom w:val="none" w:sz="0" w:space="0" w:color="auto"/>
        <w:right w:val="none" w:sz="0" w:space="0" w:color="auto"/>
      </w:divBdr>
    </w:div>
    <w:div w:id="370039344">
      <w:bodyDiv w:val="1"/>
      <w:marLeft w:val="0"/>
      <w:marRight w:val="0"/>
      <w:marTop w:val="0"/>
      <w:marBottom w:val="0"/>
      <w:divBdr>
        <w:top w:val="none" w:sz="0" w:space="0" w:color="auto"/>
        <w:left w:val="none" w:sz="0" w:space="0" w:color="auto"/>
        <w:bottom w:val="none" w:sz="0" w:space="0" w:color="auto"/>
        <w:right w:val="none" w:sz="0" w:space="0" w:color="auto"/>
      </w:divBdr>
    </w:div>
    <w:div w:id="466246089">
      <w:bodyDiv w:val="1"/>
      <w:marLeft w:val="0"/>
      <w:marRight w:val="0"/>
      <w:marTop w:val="0"/>
      <w:marBottom w:val="0"/>
      <w:divBdr>
        <w:top w:val="none" w:sz="0" w:space="0" w:color="auto"/>
        <w:left w:val="none" w:sz="0" w:space="0" w:color="auto"/>
        <w:bottom w:val="none" w:sz="0" w:space="0" w:color="auto"/>
        <w:right w:val="none" w:sz="0" w:space="0" w:color="auto"/>
      </w:divBdr>
    </w:div>
    <w:div w:id="466507453">
      <w:bodyDiv w:val="1"/>
      <w:marLeft w:val="0"/>
      <w:marRight w:val="0"/>
      <w:marTop w:val="0"/>
      <w:marBottom w:val="0"/>
      <w:divBdr>
        <w:top w:val="none" w:sz="0" w:space="0" w:color="auto"/>
        <w:left w:val="none" w:sz="0" w:space="0" w:color="auto"/>
        <w:bottom w:val="none" w:sz="0" w:space="0" w:color="auto"/>
        <w:right w:val="none" w:sz="0" w:space="0" w:color="auto"/>
      </w:divBdr>
    </w:div>
    <w:div w:id="515850600">
      <w:bodyDiv w:val="1"/>
      <w:marLeft w:val="0"/>
      <w:marRight w:val="0"/>
      <w:marTop w:val="0"/>
      <w:marBottom w:val="0"/>
      <w:divBdr>
        <w:top w:val="none" w:sz="0" w:space="0" w:color="auto"/>
        <w:left w:val="none" w:sz="0" w:space="0" w:color="auto"/>
        <w:bottom w:val="none" w:sz="0" w:space="0" w:color="auto"/>
        <w:right w:val="none" w:sz="0" w:space="0" w:color="auto"/>
      </w:divBdr>
    </w:div>
    <w:div w:id="515968332">
      <w:bodyDiv w:val="1"/>
      <w:marLeft w:val="0"/>
      <w:marRight w:val="0"/>
      <w:marTop w:val="0"/>
      <w:marBottom w:val="0"/>
      <w:divBdr>
        <w:top w:val="none" w:sz="0" w:space="0" w:color="auto"/>
        <w:left w:val="none" w:sz="0" w:space="0" w:color="auto"/>
        <w:bottom w:val="none" w:sz="0" w:space="0" w:color="auto"/>
        <w:right w:val="none" w:sz="0" w:space="0" w:color="auto"/>
      </w:divBdr>
    </w:div>
    <w:div w:id="571814159">
      <w:bodyDiv w:val="1"/>
      <w:marLeft w:val="0"/>
      <w:marRight w:val="0"/>
      <w:marTop w:val="0"/>
      <w:marBottom w:val="0"/>
      <w:divBdr>
        <w:top w:val="none" w:sz="0" w:space="0" w:color="auto"/>
        <w:left w:val="none" w:sz="0" w:space="0" w:color="auto"/>
        <w:bottom w:val="none" w:sz="0" w:space="0" w:color="auto"/>
        <w:right w:val="none" w:sz="0" w:space="0" w:color="auto"/>
      </w:divBdr>
    </w:div>
    <w:div w:id="655651935">
      <w:bodyDiv w:val="1"/>
      <w:marLeft w:val="0"/>
      <w:marRight w:val="0"/>
      <w:marTop w:val="0"/>
      <w:marBottom w:val="0"/>
      <w:divBdr>
        <w:top w:val="none" w:sz="0" w:space="0" w:color="auto"/>
        <w:left w:val="none" w:sz="0" w:space="0" w:color="auto"/>
        <w:bottom w:val="none" w:sz="0" w:space="0" w:color="auto"/>
        <w:right w:val="none" w:sz="0" w:space="0" w:color="auto"/>
      </w:divBdr>
    </w:div>
    <w:div w:id="680088235">
      <w:bodyDiv w:val="1"/>
      <w:marLeft w:val="0"/>
      <w:marRight w:val="0"/>
      <w:marTop w:val="0"/>
      <w:marBottom w:val="0"/>
      <w:divBdr>
        <w:top w:val="none" w:sz="0" w:space="0" w:color="auto"/>
        <w:left w:val="none" w:sz="0" w:space="0" w:color="auto"/>
        <w:bottom w:val="none" w:sz="0" w:space="0" w:color="auto"/>
        <w:right w:val="none" w:sz="0" w:space="0" w:color="auto"/>
      </w:divBdr>
    </w:div>
    <w:div w:id="765418237">
      <w:bodyDiv w:val="1"/>
      <w:marLeft w:val="0"/>
      <w:marRight w:val="0"/>
      <w:marTop w:val="0"/>
      <w:marBottom w:val="0"/>
      <w:divBdr>
        <w:top w:val="none" w:sz="0" w:space="0" w:color="auto"/>
        <w:left w:val="none" w:sz="0" w:space="0" w:color="auto"/>
        <w:bottom w:val="none" w:sz="0" w:space="0" w:color="auto"/>
        <w:right w:val="none" w:sz="0" w:space="0" w:color="auto"/>
      </w:divBdr>
    </w:div>
    <w:div w:id="862859971">
      <w:bodyDiv w:val="1"/>
      <w:marLeft w:val="0"/>
      <w:marRight w:val="0"/>
      <w:marTop w:val="0"/>
      <w:marBottom w:val="0"/>
      <w:divBdr>
        <w:top w:val="none" w:sz="0" w:space="0" w:color="auto"/>
        <w:left w:val="none" w:sz="0" w:space="0" w:color="auto"/>
        <w:bottom w:val="none" w:sz="0" w:space="0" w:color="auto"/>
        <w:right w:val="none" w:sz="0" w:space="0" w:color="auto"/>
      </w:divBdr>
    </w:div>
    <w:div w:id="931744028">
      <w:bodyDiv w:val="1"/>
      <w:marLeft w:val="0"/>
      <w:marRight w:val="0"/>
      <w:marTop w:val="0"/>
      <w:marBottom w:val="0"/>
      <w:divBdr>
        <w:top w:val="none" w:sz="0" w:space="0" w:color="auto"/>
        <w:left w:val="none" w:sz="0" w:space="0" w:color="auto"/>
        <w:bottom w:val="none" w:sz="0" w:space="0" w:color="auto"/>
        <w:right w:val="none" w:sz="0" w:space="0" w:color="auto"/>
      </w:divBdr>
    </w:div>
    <w:div w:id="1040669041">
      <w:bodyDiv w:val="1"/>
      <w:marLeft w:val="0"/>
      <w:marRight w:val="0"/>
      <w:marTop w:val="0"/>
      <w:marBottom w:val="0"/>
      <w:divBdr>
        <w:top w:val="none" w:sz="0" w:space="0" w:color="auto"/>
        <w:left w:val="none" w:sz="0" w:space="0" w:color="auto"/>
        <w:bottom w:val="none" w:sz="0" w:space="0" w:color="auto"/>
        <w:right w:val="none" w:sz="0" w:space="0" w:color="auto"/>
      </w:divBdr>
    </w:div>
    <w:div w:id="1168909595">
      <w:bodyDiv w:val="1"/>
      <w:marLeft w:val="0"/>
      <w:marRight w:val="0"/>
      <w:marTop w:val="0"/>
      <w:marBottom w:val="0"/>
      <w:divBdr>
        <w:top w:val="none" w:sz="0" w:space="0" w:color="auto"/>
        <w:left w:val="none" w:sz="0" w:space="0" w:color="auto"/>
        <w:bottom w:val="none" w:sz="0" w:space="0" w:color="auto"/>
        <w:right w:val="none" w:sz="0" w:space="0" w:color="auto"/>
      </w:divBdr>
    </w:div>
    <w:div w:id="1253781488">
      <w:bodyDiv w:val="1"/>
      <w:marLeft w:val="0"/>
      <w:marRight w:val="0"/>
      <w:marTop w:val="0"/>
      <w:marBottom w:val="0"/>
      <w:divBdr>
        <w:top w:val="none" w:sz="0" w:space="0" w:color="auto"/>
        <w:left w:val="none" w:sz="0" w:space="0" w:color="auto"/>
        <w:bottom w:val="none" w:sz="0" w:space="0" w:color="auto"/>
        <w:right w:val="none" w:sz="0" w:space="0" w:color="auto"/>
      </w:divBdr>
    </w:div>
    <w:div w:id="1331064662">
      <w:bodyDiv w:val="1"/>
      <w:marLeft w:val="0"/>
      <w:marRight w:val="0"/>
      <w:marTop w:val="0"/>
      <w:marBottom w:val="0"/>
      <w:divBdr>
        <w:top w:val="none" w:sz="0" w:space="0" w:color="auto"/>
        <w:left w:val="none" w:sz="0" w:space="0" w:color="auto"/>
        <w:bottom w:val="none" w:sz="0" w:space="0" w:color="auto"/>
        <w:right w:val="none" w:sz="0" w:space="0" w:color="auto"/>
      </w:divBdr>
    </w:div>
    <w:div w:id="1339044692">
      <w:bodyDiv w:val="1"/>
      <w:marLeft w:val="0"/>
      <w:marRight w:val="0"/>
      <w:marTop w:val="0"/>
      <w:marBottom w:val="0"/>
      <w:divBdr>
        <w:top w:val="none" w:sz="0" w:space="0" w:color="auto"/>
        <w:left w:val="none" w:sz="0" w:space="0" w:color="auto"/>
        <w:bottom w:val="none" w:sz="0" w:space="0" w:color="auto"/>
        <w:right w:val="none" w:sz="0" w:space="0" w:color="auto"/>
      </w:divBdr>
    </w:div>
    <w:div w:id="1377194547">
      <w:bodyDiv w:val="1"/>
      <w:marLeft w:val="0"/>
      <w:marRight w:val="0"/>
      <w:marTop w:val="0"/>
      <w:marBottom w:val="0"/>
      <w:divBdr>
        <w:top w:val="none" w:sz="0" w:space="0" w:color="auto"/>
        <w:left w:val="none" w:sz="0" w:space="0" w:color="auto"/>
        <w:bottom w:val="none" w:sz="0" w:space="0" w:color="auto"/>
        <w:right w:val="none" w:sz="0" w:space="0" w:color="auto"/>
      </w:divBdr>
    </w:div>
    <w:div w:id="1468282152">
      <w:bodyDiv w:val="1"/>
      <w:marLeft w:val="0"/>
      <w:marRight w:val="0"/>
      <w:marTop w:val="0"/>
      <w:marBottom w:val="0"/>
      <w:divBdr>
        <w:top w:val="none" w:sz="0" w:space="0" w:color="auto"/>
        <w:left w:val="none" w:sz="0" w:space="0" w:color="auto"/>
        <w:bottom w:val="none" w:sz="0" w:space="0" w:color="auto"/>
        <w:right w:val="none" w:sz="0" w:space="0" w:color="auto"/>
      </w:divBdr>
    </w:div>
    <w:div w:id="1510174561">
      <w:bodyDiv w:val="1"/>
      <w:marLeft w:val="0"/>
      <w:marRight w:val="0"/>
      <w:marTop w:val="0"/>
      <w:marBottom w:val="0"/>
      <w:divBdr>
        <w:top w:val="none" w:sz="0" w:space="0" w:color="auto"/>
        <w:left w:val="none" w:sz="0" w:space="0" w:color="auto"/>
        <w:bottom w:val="none" w:sz="0" w:space="0" w:color="auto"/>
        <w:right w:val="none" w:sz="0" w:space="0" w:color="auto"/>
      </w:divBdr>
    </w:div>
    <w:div w:id="1667324376">
      <w:bodyDiv w:val="1"/>
      <w:marLeft w:val="0"/>
      <w:marRight w:val="0"/>
      <w:marTop w:val="0"/>
      <w:marBottom w:val="0"/>
      <w:divBdr>
        <w:top w:val="none" w:sz="0" w:space="0" w:color="auto"/>
        <w:left w:val="none" w:sz="0" w:space="0" w:color="auto"/>
        <w:bottom w:val="none" w:sz="0" w:space="0" w:color="auto"/>
        <w:right w:val="none" w:sz="0" w:space="0" w:color="auto"/>
      </w:divBdr>
    </w:div>
    <w:div w:id="21304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epoxikes\&#920;&#949;&#961;&#953;&#957;&#949;&#962;%202017\&#952;&#949;&#961;&#953;&#957;&#949;&#962;_2017_graphs.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epoxikes\&#920;&#949;&#961;&#953;&#957;&#949;&#962;%202017\&#952;&#949;&#961;&#953;&#957;&#949;&#962;_2017_graphs.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epoxikes\&#920;&#949;&#961;&#953;&#957;&#949;&#962;%202017\&#952;&#949;&#961;&#953;&#957;&#949;&#962;_2017_graphs.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able\d\departments\ine.db\&#924;&#917;&#923;&#917;&#932;&#917;&#931;_&#917;&#929;&#917;&#933;&#925;&#917;&#931;\&#917;&#928;&#927;&#935;&#921;&#922;&#917;&#931;%20&#917;&#929;&#917;&#933;&#925;&#917;&#931;_2\&#917;&#922;&#928;&#932;&#937;&#931;&#917;&#921;&#931;\&#920;&#917;&#929;&#921;&#925;&#917;&#931;\&#920;&#917;&#929;&#921;&#925;&#917;&#931;%202017\&#913;&#922;&#917;_DATA%20ENTRY_&#917;&#929;&#917;&#933;&#925;&#913;%20&#920;&#917;&#929;&#921;&#925;&#937;&#925;%20&#917;&#922;&#928;&#932;&#937;&#931;&#917;&#937;&#925;%20_&#917;&#929;&#937;&#932;&#919;&#931;&#917;&#921;&#931;%201-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able\d\departments\ine.db\&#924;&#917;&#923;&#917;&#932;&#917;&#931;_&#917;&#929;&#917;&#933;&#925;&#917;&#931;\&#917;&#928;&#927;&#935;&#921;&#922;&#917;&#931;%20&#917;&#929;&#917;&#933;&#925;&#917;&#931;_2\&#917;&#922;&#928;&#932;&#937;&#931;&#917;&#921;&#931;\&#920;&#917;&#929;&#921;&#925;&#917;&#931;\&#920;&#917;&#929;&#921;&#925;&#917;&#931;%202017\&#913;&#922;&#917;_DATA%20ENTRY_&#917;&#929;&#917;&#933;&#925;&#913;%20&#920;&#917;&#929;&#921;&#925;&#937;&#925;%20&#917;&#922;&#928;&#932;&#937;&#931;&#917;&#937;&#925;%20_&#917;&#929;&#937;&#932;&#919;&#931;&#917;&#921;&#931;%20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able\d\departments\ine.db\&#924;&#917;&#923;&#917;&#932;&#917;&#931;_&#917;&#929;&#917;&#933;&#925;&#917;&#931;\&#917;&#928;&#927;&#935;&#921;&#922;&#917;&#931;%20&#917;&#929;&#917;&#933;&#925;&#917;&#931;_2\&#917;&#922;&#928;&#932;&#937;&#931;&#917;&#921;&#931;\&#920;&#917;&#929;&#921;&#925;&#917;&#931;\&#920;&#917;&#929;&#921;&#925;&#917;&#931;%202017\&#913;&#922;&#917;_DATA%20ENTRY_&#917;&#929;&#917;&#933;&#925;&#913;%20&#920;&#917;&#929;&#921;&#925;&#937;&#925;%20&#917;&#922;&#928;&#932;&#937;&#931;&#917;&#937;&#925;%20_&#917;&#929;&#937;&#932;&#919;&#931;&#917;&#921;&#931;%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epoxikes\&#920;&#949;&#961;&#953;&#957;&#949;&#962;%202017\&#952;&#949;&#961;&#953;&#957;&#949;&#962;_2017_graph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epoxikes\&#920;&#949;&#961;&#953;&#957;&#949;&#962;%202017\&#952;&#949;&#961;&#953;&#957;&#949;&#962;_2017_graph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epoxikes\&#920;&#949;&#961;&#953;&#957;&#949;&#962;%202017\&#952;&#949;&#961;&#953;&#957;&#949;&#962;_2017_graph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epoxikes\&#920;&#949;&#961;&#953;&#957;&#949;&#962;%202017\&#952;&#949;&#961;&#953;&#957;&#949;&#962;_2017_graph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epoxikes\&#920;&#949;&#961;&#953;&#957;&#949;&#962;%202017\&#952;&#949;&#961;&#953;&#957;&#949;&#962;_2017_graph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epoxikes\&#920;&#949;&#961;&#953;&#957;&#949;&#962;%202017\&#952;&#949;&#961;&#953;&#957;&#949;&#962;_2017_graph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epoxikes\&#920;&#949;&#961;&#953;&#957;&#949;&#962;%202017\&#952;&#949;&#961;&#953;&#957;&#949;&#962;_2017_graphs.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epoxikes\&#920;&#949;&#961;&#953;&#957;&#949;&#962;%202017\&#952;&#949;&#961;&#953;&#957;&#949;&#962;_2017_graph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a:t>Ποσοστό έκπτωσης κατά την περίοδο των θερινών </a:t>
            </a:r>
            <a:r>
              <a:rPr lang="el-GR" sz="1400" baseline="0"/>
              <a:t>εκπτώσεων του 2017</a:t>
            </a:r>
            <a:endParaRPr lang="el-GR" sz="14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numFmt formatCode="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Sheet1!$Q$3:$Q$7</c:f>
              <c:strCache>
                <c:ptCount val="5"/>
                <c:pt idx="0">
                  <c:v>Έως 10%</c:v>
                </c:pt>
                <c:pt idx="1">
                  <c:v>11%-20%</c:v>
                </c:pt>
                <c:pt idx="2">
                  <c:v>21-40%</c:v>
                </c:pt>
                <c:pt idx="3">
                  <c:v>41%-50%</c:v>
                </c:pt>
                <c:pt idx="4">
                  <c:v>50% και άνω</c:v>
                </c:pt>
              </c:strCache>
            </c:strRef>
          </c:cat>
          <c:val>
            <c:numRef>
              <c:f>Sheet1!$T$3:$T$7</c:f>
              <c:numCache>
                <c:formatCode>####.0</c:formatCode>
                <c:ptCount val="5"/>
                <c:pt idx="0">
                  <c:v>3.5460992907801456E-2</c:v>
                </c:pt>
                <c:pt idx="1">
                  <c:v>0.14184397163120571</c:v>
                </c:pt>
                <c:pt idx="2">
                  <c:v>0.45390070921986209</c:v>
                </c:pt>
                <c:pt idx="3">
                  <c:v>0.18439716312056822</c:v>
                </c:pt>
                <c:pt idx="4">
                  <c:v>0.18439716312056822</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a:t>Σε τι βαθμό έχει συμβάλει στην αύξηση της επισκεψιμότητας του καταστήματος το άνοιγμα τις Κυριακές</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numFmt formatCode="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Sheet1!$R$193:$R$196</c:f>
              <c:strCache>
                <c:ptCount val="4"/>
                <c:pt idx="0">
                  <c:v>Πάρα πολύ</c:v>
                </c:pt>
                <c:pt idx="1">
                  <c:v>Πολύ</c:v>
                </c:pt>
                <c:pt idx="2">
                  <c:v>Λίγο</c:v>
                </c:pt>
                <c:pt idx="3">
                  <c:v>Καθόλου</c:v>
                </c:pt>
              </c:strCache>
            </c:strRef>
          </c:cat>
          <c:val>
            <c:numRef>
              <c:f>Sheet1!$U$193:$U$196</c:f>
              <c:numCache>
                <c:formatCode>####.0</c:formatCode>
                <c:ptCount val="4"/>
                <c:pt idx="0">
                  <c:v>3.2258064516129226E-2</c:v>
                </c:pt>
                <c:pt idx="1">
                  <c:v>9.6774193548387247E-2</c:v>
                </c:pt>
                <c:pt idx="2">
                  <c:v>0.29032258064516325</c:v>
                </c:pt>
                <c:pt idx="3">
                  <c:v>0.58064516129032251</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a:t>Πόσες Κυριακές θα ανοίξουν κατά την τουριστική περίοδο έως και</a:t>
            </a:r>
            <a:r>
              <a:rPr lang="el-GR" sz="1400" baseline="0"/>
              <a:t> </a:t>
            </a:r>
            <a:r>
              <a:rPr lang="el-GR" sz="1400"/>
              <a:t>τον Οκτώβριο</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numFmt formatCode="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Sheet1!$B$214:$B$217</c:f>
              <c:strCache>
                <c:ptCount val="4"/>
                <c:pt idx="0">
                  <c:v>Σχεδόν όλες</c:v>
                </c:pt>
                <c:pt idx="1">
                  <c:v>Κάποιες από αυτές</c:v>
                </c:pt>
                <c:pt idx="2">
                  <c:v>Καμία</c:v>
                </c:pt>
                <c:pt idx="3">
                  <c:v>ΔΞ/ΔΑ</c:v>
                </c:pt>
              </c:strCache>
            </c:strRef>
          </c:cat>
          <c:val>
            <c:numRef>
              <c:f>Sheet1!$E$214:$E$217</c:f>
              <c:numCache>
                <c:formatCode>####.0</c:formatCode>
                <c:ptCount val="4"/>
                <c:pt idx="0">
                  <c:v>4.5454545454545463E-2</c:v>
                </c:pt>
                <c:pt idx="1">
                  <c:v>0.22727272727272727</c:v>
                </c:pt>
                <c:pt idx="2">
                  <c:v>0.68181818181818188</c:v>
                </c:pt>
                <c:pt idx="3">
                  <c:v>4.5454545454545463E-2</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l-GR" sz="1200" b="1" i="0" u="none" strike="noStrike" baseline="0">
                <a:solidFill>
                  <a:srgbClr val="000000"/>
                </a:solidFill>
                <a:latin typeface="Arial"/>
                <a:ea typeface="Arial"/>
                <a:cs typeface="Arial"/>
              </a:defRPr>
            </a:pPr>
            <a:r>
              <a:rPr lang="el-GR"/>
              <a:t>Οι πωλήσεις στις θερινές εκπτώσεις του 201</a:t>
            </a:r>
            <a:r>
              <a:rPr lang="en-US"/>
              <a:t>7</a:t>
            </a:r>
            <a:r>
              <a:rPr lang="el-GR"/>
              <a:t> συγκριτικά με το 201</a:t>
            </a:r>
            <a:r>
              <a:rPr lang="en-US"/>
              <a:t>6</a:t>
            </a:r>
            <a:endParaRPr lang="el-GR"/>
          </a:p>
        </c:rich>
      </c:tx>
      <c:layout>
        <c:manualLayout>
          <c:xMode val="edge"/>
          <c:yMode val="edge"/>
          <c:x val="9.5514453310785868E-2"/>
          <c:y val="3.0221175624075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174496644295302"/>
          <c:y val="0.27725941047085056"/>
          <c:w val="0.62080536912751683"/>
          <c:h val="0.45794531841814629"/>
        </c:manualLayout>
      </c:layout>
      <c:pie3DChart>
        <c:varyColors val="1"/>
        <c:ser>
          <c:idx val="0"/>
          <c:order val="0"/>
          <c:spPr>
            <a:solidFill>
              <a:srgbClr val="9999FF"/>
            </a:solidFill>
            <a:ln w="12700">
              <a:solidFill>
                <a:srgbClr val="000000"/>
              </a:solidFill>
              <a:prstDash val="solid"/>
            </a:ln>
          </c:spPr>
          <c:explosion val="25"/>
          <c:dPt>
            <c:idx val="0"/>
            <c:bubble3D val="0"/>
            <c:spPr>
              <a:solidFill>
                <a:srgbClr val="00FF00"/>
              </a:solidFill>
              <a:ln w="12700">
                <a:solidFill>
                  <a:srgbClr val="000000"/>
                </a:solidFill>
                <a:prstDash val="solid"/>
              </a:ln>
            </c:spPr>
          </c:dPt>
          <c:dPt>
            <c:idx val="1"/>
            <c:bubble3D val="0"/>
            <c:spPr>
              <a:solidFill>
                <a:srgbClr val="FFFF00"/>
              </a:solidFill>
              <a:ln w="12700">
                <a:solidFill>
                  <a:srgbClr val="000000"/>
                </a:solidFill>
                <a:prstDash val="solid"/>
              </a:ln>
            </c:spPr>
          </c:dPt>
          <c:dPt>
            <c:idx val="2"/>
            <c:bubble3D val="0"/>
            <c:spPr>
              <a:solidFill>
                <a:srgbClr val="0000FF"/>
              </a:solidFill>
              <a:ln w="12700">
                <a:solidFill>
                  <a:srgbClr val="000000"/>
                </a:solidFill>
                <a:prstDash val="solid"/>
              </a:ln>
            </c:spPr>
          </c:dPt>
          <c:dLbls>
            <c:numFmt formatCode="0%" sourceLinked="0"/>
            <c:spPr>
              <a:noFill/>
              <a:ln w="25400">
                <a:noFill/>
              </a:ln>
            </c:spPr>
            <c:txPr>
              <a:bodyPr/>
              <a:lstStyle/>
              <a:p>
                <a:pPr>
                  <a:defRPr lang="el-GR" sz="1100" b="1" i="0" u="none" strike="noStrike" baseline="0">
                    <a:solidFill>
                      <a:srgbClr val="000000"/>
                    </a:solidFill>
                    <a:latin typeface="Arial"/>
                    <a:ea typeface="Arial"/>
                    <a:cs typeface="Arial"/>
                  </a:defRPr>
                </a:pPr>
                <a:endParaRPr lang="el-GR"/>
              </a:p>
            </c:txPr>
            <c:showLegendKey val="0"/>
            <c:showVal val="0"/>
            <c:showCatName val="0"/>
            <c:showSerName val="0"/>
            <c:showPercent val="1"/>
            <c:showBubbleSize val="0"/>
            <c:showLeaderLines val="1"/>
            <c:extLst>
              <c:ext xmlns:c15="http://schemas.microsoft.com/office/drawing/2012/chart" uri="{CE6537A1-D6FC-4f65-9D91-7224C49458BB}"/>
            </c:extLst>
          </c:dLbls>
          <c:cat>
            <c:strRef>
              <c:f>'Χειμερινές εκπτώσεις'!$A$18:$A$20</c:f>
              <c:strCache>
                <c:ptCount val="3"/>
                <c:pt idx="0">
                  <c:v>Καλύτερα από το 2016</c:v>
                </c:pt>
                <c:pt idx="1">
                  <c:v>Χειρότερα από το 2016</c:v>
                </c:pt>
                <c:pt idx="2">
                  <c:v>Στα ίδια επίπεδα</c:v>
                </c:pt>
              </c:strCache>
            </c:strRef>
          </c:cat>
          <c:val>
            <c:numRef>
              <c:f>'Χειμερινές εκπτώσεις'!$D$18:$D$20</c:f>
              <c:numCache>
                <c:formatCode>0.0%</c:formatCode>
                <c:ptCount val="3"/>
                <c:pt idx="0">
                  <c:v>0.2</c:v>
                </c:pt>
                <c:pt idx="1">
                  <c:v>0.33846153846153826</c:v>
                </c:pt>
                <c:pt idx="2">
                  <c:v>0.46153846153846195</c:v>
                </c:pt>
              </c:numCache>
            </c:numRef>
          </c:val>
        </c:ser>
        <c:dLbls>
          <c:showLegendKey val="0"/>
          <c:showVal val="0"/>
          <c:showCatName val="0"/>
          <c:showSerName val="0"/>
          <c:showPercent val="1"/>
          <c:showBubbleSize val="0"/>
          <c:showLeaderLines val="1"/>
        </c:dLbls>
      </c:pie3DChart>
      <c:spPr>
        <a:noFill/>
        <a:ln w="25400">
          <a:noFill/>
        </a:ln>
      </c:spPr>
    </c:plotArea>
    <c:legend>
      <c:legendPos val="r"/>
      <c:layout>
        <c:manualLayout>
          <c:xMode val="edge"/>
          <c:yMode val="edge"/>
          <c:x val="0.72986577181208068"/>
          <c:y val="0.46562497444828782"/>
          <c:w val="0.25671140939597281"/>
          <c:h val="0.20000000000000023"/>
        </c:manualLayout>
      </c:layout>
      <c:overlay val="0"/>
      <c:spPr>
        <a:solidFill>
          <a:srgbClr val="FFFFFF"/>
        </a:solidFill>
        <a:ln w="3175">
          <a:solidFill>
            <a:srgbClr val="000000"/>
          </a:solidFill>
          <a:prstDash val="solid"/>
        </a:ln>
      </c:spPr>
      <c:txPr>
        <a:bodyPr/>
        <a:lstStyle/>
        <a:p>
          <a:pPr>
            <a:defRPr lang="el-GR" sz="920" b="0" i="0" u="none" strike="noStrike" baseline="0">
              <a:solidFill>
                <a:srgbClr val="000000"/>
              </a:solidFill>
              <a:latin typeface="Arial"/>
              <a:ea typeface="Arial"/>
              <a:cs typeface="Arial"/>
            </a:defRPr>
          </a:pPr>
          <a:endParaRPr lang="el-GR"/>
        </a:p>
      </c:txPr>
    </c:legend>
    <c:plotVisOnly val="1"/>
    <c:dispBlanksAs val="zero"/>
    <c:showDLblsOverMax val="0"/>
  </c:chart>
  <c:spPr>
    <a:solidFill>
      <a:srgbClr val="C0C0C0"/>
    </a:soli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el-G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l-GR" sz="1200" b="1" i="0" u="none" strike="noStrike" baseline="0">
                <a:solidFill>
                  <a:srgbClr val="000000"/>
                </a:solidFill>
                <a:latin typeface="Arial"/>
                <a:ea typeface="Arial"/>
                <a:cs typeface="Arial"/>
              </a:defRPr>
            </a:pPr>
            <a:r>
              <a:rPr lang="el-GR"/>
              <a:t>Ποσοστό αύξησης των</a:t>
            </a:r>
            <a:r>
              <a:rPr lang="el-GR" baseline="0"/>
              <a:t> πωλήσεων (σύγκριση με το προηγούμενο έτος)</a:t>
            </a:r>
            <a:endParaRPr lang="el-GR"/>
          </a:p>
        </c:rich>
      </c:tx>
      <c:layout>
        <c:manualLayout>
          <c:xMode val="edge"/>
          <c:yMode val="edge"/>
          <c:x val="0.17444444444444773"/>
          <c:y val="3.0714069832179995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1666685655412852"/>
          <c:y val="0.38682002543543687"/>
          <c:w val="0.51166749945882073"/>
          <c:h val="0.3495706896527675"/>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6600"/>
              </a:solidFill>
              <a:ln w="12700">
                <a:solidFill>
                  <a:srgbClr val="000000"/>
                </a:solidFill>
                <a:prstDash val="solid"/>
              </a:ln>
            </c:spPr>
          </c:dPt>
          <c:dPt>
            <c:idx val="3"/>
            <c:bubble3D val="0"/>
            <c:spPr>
              <a:solidFill>
                <a:srgbClr val="FFFF00"/>
              </a:solidFill>
              <a:ln w="12700">
                <a:solidFill>
                  <a:srgbClr val="000000"/>
                </a:solidFill>
                <a:prstDash val="solid"/>
              </a:ln>
            </c:spPr>
          </c:dPt>
          <c:dPt>
            <c:idx val="4"/>
            <c:bubble3D val="0"/>
            <c:spPr>
              <a:solidFill>
                <a:srgbClr val="00FF00"/>
              </a:solidFill>
              <a:ln w="12700">
                <a:solidFill>
                  <a:srgbClr val="000000"/>
                </a:solidFill>
                <a:prstDash val="solid"/>
              </a:ln>
            </c:spPr>
          </c:dPt>
          <c:dLbls>
            <c:numFmt formatCode="0%" sourceLinked="0"/>
            <c:spPr>
              <a:noFill/>
              <a:ln w="25400">
                <a:noFill/>
              </a:ln>
            </c:spPr>
            <c:txPr>
              <a:bodyPr/>
              <a:lstStyle/>
              <a:p>
                <a:pPr>
                  <a:defRPr lang="el-GR" sz="1100" b="1" i="0" u="none" strike="noStrike" baseline="0">
                    <a:solidFill>
                      <a:srgbClr val="000000"/>
                    </a:solidFill>
                    <a:latin typeface="Arial"/>
                    <a:ea typeface="Arial"/>
                    <a:cs typeface="Arial"/>
                  </a:defRPr>
                </a:pPr>
                <a:endParaRPr lang="el-GR"/>
              </a:p>
            </c:txPr>
            <c:showLegendKey val="0"/>
            <c:showVal val="0"/>
            <c:showCatName val="0"/>
            <c:showSerName val="0"/>
            <c:showPercent val="1"/>
            <c:showBubbleSize val="0"/>
            <c:showLeaderLines val="1"/>
            <c:extLst>
              <c:ext xmlns:c15="http://schemas.microsoft.com/office/drawing/2012/chart" uri="{CE6537A1-D6FC-4f65-9D91-7224C49458BB}"/>
            </c:extLst>
          </c:dLbls>
          <c:cat>
            <c:strRef>
              <c:f>'Χειμερινές εκπτώσεις'!$A$33:$A$36</c:f>
              <c:strCache>
                <c:ptCount val="4"/>
                <c:pt idx="0">
                  <c:v>0 – 10%</c:v>
                </c:pt>
                <c:pt idx="1">
                  <c:v>11% - 20% </c:v>
                </c:pt>
                <c:pt idx="2">
                  <c:v>21% - 30%</c:v>
                </c:pt>
                <c:pt idx="3">
                  <c:v>31%- 40%</c:v>
                </c:pt>
              </c:strCache>
            </c:strRef>
          </c:cat>
          <c:val>
            <c:numRef>
              <c:f>'Χειμερινές εκπτώσεις'!$D$33:$D$36</c:f>
              <c:numCache>
                <c:formatCode>0.0%</c:formatCode>
                <c:ptCount val="4"/>
                <c:pt idx="0">
                  <c:v>0.46153846153846201</c:v>
                </c:pt>
                <c:pt idx="1">
                  <c:v>0.3846153846153848</c:v>
                </c:pt>
                <c:pt idx="2">
                  <c:v>7.6923076923076927E-2</c:v>
                </c:pt>
                <c:pt idx="3">
                  <c:v>7.6923076923076927E-2</c:v>
                </c:pt>
              </c:numCache>
            </c:numRef>
          </c:val>
        </c:ser>
        <c:dLbls>
          <c:showLegendKey val="0"/>
          <c:showVal val="0"/>
          <c:showCatName val="0"/>
          <c:showSerName val="0"/>
          <c:showPercent val="1"/>
          <c:showBubbleSize val="0"/>
          <c:showLeaderLines val="1"/>
        </c:dLbls>
      </c:pie3DChart>
      <c:spPr>
        <a:noFill/>
        <a:ln w="25400">
          <a:noFill/>
        </a:ln>
      </c:spPr>
    </c:plotArea>
    <c:legend>
      <c:legendPos val="r"/>
      <c:layout>
        <c:manualLayout>
          <c:xMode val="edge"/>
          <c:yMode val="edge"/>
          <c:x val="0.73833333333333362"/>
          <c:y val="0.40974212034383956"/>
          <c:w val="0.24833333333333577"/>
          <c:h val="0.44985673352435912"/>
        </c:manualLayout>
      </c:layout>
      <c:overlay val="0"/>
      <c:spPr>
        <a:solidFill>
          <a:srgbClr val="FFFFFF"/>
        </a:solidFill>
        <a:ln w="3175">
          <a:solidFill>
            <a:srgbClr val="000000"/>
          </a:solidFill>
          <a:prstDash val="solid"/>
        </a:ln>
      </c:spPr>
      <c:txPr>
        <a:bodyPr/>
        <a:lstStyle/>
        <a:p>
          <a:pPr>
            <a:defRPr lang="el-GR" sz="920" b="0" i="0" u="none" strike="noStrike" baseline="0">
              <a:solidFill>
                <a:srgbClr val="000000"/>
              </a:solidFill>
              <a:latin typeface="Arial"/>
              <a:ea typeface="Arial"/>
              <a:cs typeface="Arial"/>
            </a:defRPr>
          </a:pPr>
          <a:endParaRPr lang="el-GR"/>
        </a:p>
      </c:txPr>
    </c:legend>
    <c:plotVisOnly val="1"/>
    <c:dispBlanksAs val="zero"/>
    <c:showDLblsOverMax val="0"/>
  </c:chart>
  <c:spPr>
    <a:solidFill>
      <a:srgbClr val="C0C0C0"/>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l-G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l-GR" sz="1200" b="1" i="0" u="none" strike="noStrike" baseline="0">
                <a:solidFill>
                  <a:srgbClr val="000000"/>
                </a:solidFill>
                <a:latin typeface="Arial"/>
                <a:ea typeface="Arial"/>
                <a:cs typeface="Arial"/>
              </a:defRPr>
            </a:pPr>
            <a:r>
              <a:rPr lang="el-GR"/>
              <a:t>Η καλύτερη περίοδος των θερινών εκπτώσεων από άποψη αγοραστικής κίνησης</a:t>
            </a:r>
          </a:p>
        </c:rich>
      </c:tx>
      <c:layout>
        <c:manualLayout>
          <c:xMode val="edge"/>
          <c:yMode val="edge"/>
          <c:x val="0.14469911640191896"/>
          <c:y val="3.4384031567160196E-2"/>
        </c:manualLayout>
      </c:layout>
      <c:overlay val="0"/>
      <c:spPr>
        <a:noFill/>
        <a:ln w="25400">
          <a:noFill/>
        </a:ln>
      </c:spPr>
    </c:title>
    <c:autoTitleDeleted val="0"/>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5829500872428054E-2"/>
          <c:y val="0.12189616252821836"/>
          <c:w val="0.90205510412825851"/>
          <c:h val="0.78103837471782656"/>
        </c:manualLayout>
      </c:layout>
      <c:bar3DChart>
        <c:barDir val="col"/>
        <c:grouping val="clustered"/>
        <c:varyColors val="1"/>
        <c:ser>
          <c:idx val="0"/>
          <c:order val="0"/>
          <c:spPr>
            <a:solidFill>
              <a:srgbClr val="9999FF"/>
            </a:solidFill>
            <a:ln w="12700">
              <a:solidFill>
                <a:srgbClr val="000000"/>
              </a:solidFill>
              <a:prstDash val="solid"/>
            </a:ln>
          </c:spPr>
          <c:invertIfNegative val="0"/>
          <c:dPt>
            <c:idx val="0"/>
            <c:invertIfNegative val="0"/>
            <c:bubble3D val="0"/>
            <c:spPr>
              <a:solidFill>
                <a:srgbClr val="00FF00"/>
              </a:solidFill>
              <a:ln w="12700">
                <a:solidFill>
                  <a:srgbClr val="000000"/>
                </a:solidFill>
                <a:prstDash val="solid"/>
              </a:ln>
            </c:spPr>
          </c:dPt>
          <c:dPt>
            <c:idx val="1"/>
            <c:invertIfNegative val="0"/>
            <c:bubble3D val="0"/>
            <c:spPr>
              <a:solidFill>
                <a:srgbClr val="FFFF00"/>
              </a:solidFill>
              <a:ln w="12700">
                <a:solidFill>
                  <a:srgbClr val="000000"/>
                </a:solidFill>
                <a:prstDash val="solid"/>
              </a:ln>
            </c:spPr>
          </c:dPt>
          <c:dPt>
            <c:idx val="2"/>
            <c:invertIfNegative val="0"/>
            <c:bubble3D val="0"/>
            <c:spPr>
              <a:solidFill>
                <a:srgbClr val="3366FF"/>
              </a:solidFill>
              <a:ln w="12700">
                <a:solidFill>
                  <a:srgbClr val="000000"/>
                </a:solidFill>
                <a:prstDash val="solid"/>
              </a:ln>
            </c:spPr>
          </c:dPt>
          <c:dLbls>
            <c:spPr>
              <a:noFill/>
              <a:ln w="25400">
                <a:noFill/>
              </a:ln>
            </c:spPr>
            <c:txPr>
              <a:bodyPr/>
              <a:lstStyle/>
              <a:p>
                <a:pPr>
                  <a:defRPr lang="el-GR" sz="1200" b="1" i="0" u="none" strike="noStrike" baseline="0">
                    <a:solidFill>
                      <a:srgbClr val="000000"/>
                    </a:solidFill>
                    <a:latin typeface="Arial"/>
                    <a:ea typeface="Arial"/>
                    <a:cs typeface="Arial"/>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'Χειμερινές εκπτώσεις'!$A$76:$A$78</c:f>
              <c:strCache>
                <c:ptCount val="3"/>
                <c:pt idx="0">
                  <c:v>11/7 έως 30/7</c:v>
                </c:pt>
                <c:pt idx="1">
                  <c:v>1/8 έως 13/8</c:v>
                </c:pt>
                <c:pt idx="2">
                  <c:v>16/8 έως τέλος</c:v>
                </c:pt>
              </c:strCache>
            </c:strRef>
          </c:cat>
          <c:val>
            <c:numRef>
              <c:f>'Χειμερινές εκπτώσεις'!$C$76:$C$78</c:f>
              <c:numCache>
                <c:formatCode>0.0%</c:formatCode>
                <c:ptCount val="3"/>
                <c:pt idx="0">
                  <c:v>0.84375000000000089</c:v>
                </c:pt>
                <c:pt idx="1">
                  <c:v>0.1093750000000001</c:v>
                </c:pt>
                <c:pt idx="2">
                  <c:v>4.6874999999999986E-2</c:v>
                </c:pt>
              </c:numCache>
            </c:numRef>
          </c:val>
        </c:ser>
        <c:dLbls>
          <c:showLegendKey val="0"/>
          <c:showVal val="1"/>
          <c:showCatName val="0"/>
          <c:showSerName val="0"/>
          <c:showPercent val="0"/>
          <c:showBubbleSize val="0"/>
        </c:dLbls>
        <c:gapWidth val="120"/>
        <c:gapDepth val="120"/>
        <c:shape val="box"/>
        <c:axId val="228143104"/>
        <c:axId val="228147200"/>
        <c:axId val="0"/>
      </c:bar3DChart>
      <c:catAx>
        <c:axId val="22814310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lang="el-GR" sz="1000" b="0" i="0" u="none" strike="noStrike" baseline="0">
                <a:solidFill>
                  <a:srgbClr val="000000"/>
                </a:solidFill>
                <a:latin typeface="Arial"/>
                <a:ea typeface="Arial"/>
                <a:cs typeface="Arial"/>
              </a:defRPr>
            </a:pPr>
            <a:endParaRPr lang="el-GR"/>
          </a:p>
        </c:txPr>
        <c:crossAx val="228147200"/>
        <c:crosses val="autoZero"/>
        <c:auto val="0"/>
        <c:lblAlgn val="ctr"/>
        <c:lblOffset val="100"/>
        <c:tickLblSkip val="1"/>
        <c:tickMarkSkip val="1"/>
        <c:noMultiLvlLbl val="0"/>
      </c:catAx>
      <c:valAx>
        <c:axId val="228147200"/>
        <c:scaling>
          <c:orientation val="minMax"/>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lang="el-GR" sz="1000" b="0" i="0" u="none" strike="noStrike" baseline="0">
                <a:solidFill>
                  <a:srgbClr val="000000"/>
                </a:solidFill>
                <a:latin typeface="Arial"/>
                <a:ea typeface="Arial"/>
                <a:cs typeface="Arial"/>
              </a:defRPr>
            </a:pPr>
            <a:endParaRPr lang="el-GR"/>
          </a:p>
        </c:txPr>
        <c:crossAx val="228143104"/>
        <c:crosses val="autoZero"/>
        <c:crossBetween val="between"/>
      </c:valAx>
      <c:spPr>
        <a:noFill/>
        <a:ln w="25400">
          <a:noFill/>
        </a:ln>
      </c:spPr>
    </c:plotArea>
    <c:plotVisOnly val="1"/>
    <c:dispBlanksAs val="gap"/>
    <c:showDLblsOverMax val="0"/>
  </c:chart>
  <c:spPr>
    <a:solidFill>
      <a:srgbClr val="C0C0C0"/>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l-G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a:t>Οι πωλήσεις στις θερινές εκπτώσεις του 2017 συγκριτικά με το 2016</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numFmt formatCode="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Sheet1!$Q$44:$Q$47</c:f>
              <c:strCache>
                <c:ptCount val="4"/>
                <c:pt idx="0">
                  <c:v>Καλύτερα από το 2016</c:v>
                </c:pt>
                <c:pt idx="1">
                  <c:v>Χειρότερα από το 2016</c:v>
                </c:pt>
                <c:pt idx="2">
                  <c:v>Στα ίδια επίπεδα</c:v>
                </c:pt>
                <c:pt idx="3">
                  <c:v>ΔΑ</c:v>
                </c:pt>
              </c:strCache>
            </c:strRef>
          </c:cat>
          <c:val>
            <c:numRef>
              <c:f>Sheet1!$S$44:$S$47</c:f>
              <c:numCache>
                <c:formatCode>####.0</c:formatCode>
                <c:ptCount val="4"/>
                <c:pt idx="0">
                  <c:v>5.6737588652482303E-2</c:v>
                </c:pt>
                <c:pt idx="1">
                  <c:v>0.65248226950354604</c:v>
                </c:pt>
                <c:pt idx="2">
                  <c:v>0.28368794326241342</c:v>
                </c:pt>
                <c:pt idx="3">
                  <c:v>7.0921985815602913E-3</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rtl="0">
            <a:defRPr/>
          </a:pPr>
          <a:endParaRPr lang="el-GR"/>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a:t>Πωλήσεις στις θερινές</a:t>
            </a:r>
            <a:r>
              <a:rPr lang="el-GR" sz="1400" baseline="0"/>
              <a:t> </a:t>
            </a:r>
            <a:r>
              <a:rPr lang="el-GR" sz="1400"/>
              <a:t>εκπτώσεις του 2017 συγκριτικά με το 2016</a:t>
            </a:r>
          </a:p>
        </c:rich>
      </c:tx>
      <c:overlay val="0"/>
    </c:title>
    <c:autoTitleDeleted val="0"/>
    <c:plotArea>
      <c:layout/>
      <c:barChart>
        <c:barDir val="col"/>
        <c:grouping val="clustered"/>
        <c:varyColors val="0"/>
        <c:ser>
          <c:idx val="0"/>
          <c:order val="0"/>
          <c:tx>
            <c:strRef>
              <c:f>Sheet1!$S$64</c:f>
              <c:strCache>
                <c:ptCount val="1"/>
                <c:pt idx="0">
                  <c:v>Κάτω των 30.000 Ευρώ </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Sheet1!$R$65:$R$67</c:f>
              <c:strCache>
                <c:ptCount val="3"/>
                <c:pt idx="0">
                  <c:v>Καλύτερα από το 2016</c:v>
                </c:pt>
                <c:pt idx="1">
                  <c:v>Χειρότερα από το 2016</c:v>
                </c:pt>
                <c:pt idx="2">
                  <c:v>Στα ίδια επίπεδα</c:v>
                </c:pt>
              </c:strCache>
            </c:strRef>
          </c:cat>
          <c:val>
            <c:numRef>
              <c:f>Sheet1!$S$65:$S$67</c:f>
              <c:numCache>
                <c:formatCode>####%</c:formatCode>
                <c:ptCount val="3"/>
                <c:pt idx="0">
                  <c:v>2.2222222222222251E-2</c:v>
                </c:pt>
                <c:pt idx="1">
                  <c:v>0.75555555555555565</c:v>
                </c:pt>
                <c:pt idx="2">
                  <c:v>0.22222222222222221</c:v>
                </c:pt>
              </c:numCache>
            </c:numRef>
          </c:val>
        </c:ser>
        <c:ser>
          <c:idx val="1"/>
          <c:order val="1"/>
          <c:tx>
            <c:strRef>
              <c:f>Sheet1!$T$64</c:f>
              <c:strCache>
                <c:ptCount val="1"/>
                <c:pt idx="0">
                  <c:v>Άνω των 30.000 Ευρώ</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Sheet1!$R$65:$R$67</c:f>
              <c:strCache>
                <c:ptCount val="3"/>
                <c:pt idx="0">
                  <c:v>Καλύτερα από το 2016</c:v>
                </c:pt>
                <c:pt idx="1">
                  <c:v>Χειρότερα από το 2016</c:v>
                </c:pt>
                <c:pt idx="2">
                  <c:v>Στα ίδια επίπεδα</c:v>
                </c:pt>
              </c:strCache>
            </c:strRef>
          </c:cat>
          <c:val>
            <c:numRef>
              <c:f>Sheet1!$T$65:$T$67</c:f>
              <c:numCache>
                <c:formatCode>####%</c:formatCode>
                <c:ptCount val="3"/>
                <c:pt idx="0">
                  <c:v>9.8039215686274522E-2</c:v>
                </c:pt>
                <c:pt idx="1">
                  <c:v>0.50980392156862742</c:v>
                </c:pt>
                <c:pt idx="2">
                  <c:v>0.39215686274510003</c:v>
                </c:pt>
              </c:numCache>
            </c:numRef>
          </c:val>
        </c:ser>
        <c:dLbls>
          <c:showLegendKey val="0"/>
          <c:showVal val="0"/>
          <c:showCatName val="0"/>
          <c:showSerName val="0"/>
          <c:showPercent val="0"/>
          <c:showBubbleSize val="0"/>
        </c:dLbls>
        <c:gapWidth val="150"/>
        <c:axId val="217283200"/>
        <c:axId val="217305472"/>
      </c:barChart>
      <c:catAx>
        <c:axId val="217283200"/>
        <c:scaling>
          <c:orientation val="minMax"/>
        </c:scaling>
        <c:delete val="0"/>
        <c:axPos val="b"/>
        <c:numFmt formatCode="General" sourceLinked="1"/>
        <c:majorTickMark val="out"/>
        <c:minorTickMark val="none"/>
        <c:tickLblPos val="nextTo"/>
        <c:crossAx val="217305472"/>
        <c:crosses val="autoZero"/>
        <c:auto val="1"/>
        <c:lblAlgn val="ctr"/>
        <c:lblOffset val="100"/>
        <c:noMultiLvlLbl val="0"/>
      </c:catAx>
      <c:valAx>
        <c:axId val="217305472"/>
        <c:scaling>
          <c:orientation val="minMax"/>
          <c:max val="1"/>
        </c:scaling>
        <c:delete val="0"/>
        <c:axPos val="l"/>
        <c:majorGridlines/>
        <c:numFmt formatCode="####%" sourceLinked="1"/>
        <c:majorTickMark val="out"/>
        <c:minorTickMark val="none"/>
        <c:tickLblPos val="nextTo"/>
        <c:crossAx val="217283200"/>
        <c:crosses val="autoZero"/>
        <c:crossBetween val="between"/>
        <c:majorUnit val="0.2"/>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a:t>Πωλήσεις στις θερινές</a:t>
            </a:r>
            <a:r>
              <a:rPr lang="el-GR" sz="1400" baseline="0"/>
              <a:t> </a:t>
            </a:r>
            <a:r>
              <a:rPr lang="el-GR" sz="1400"/>
              <a:t>εκπτώσεις του 2017 συγκριτικά με το 2016</a:t>
            </a:r>
          </a:p>
        </c:rich>
      </c:tx>
      <c:overlay val="0"/>
    </c:title>
    <c:autoTitleDeleted val="0"/>
    <c:plotArea>
      <c:layout/>
      <c:barChart>
        <c:barDir val="col"/>
        <c:grouping val="clustered"/>
        <c:varyColors val="0"/>
        <c:ser>
          <c:idx val="0"/>
          <c:order val="0"/>
          <c:tx>
            <c:strRef>
              <c:f>Sheet1!$S$74</c:f>
              <c:strCache>
                <c:ptCount val="1"/>
                <c:pt idx="0">
                  <c:v>Επιχειρήσεις χωρίς μισθωτούς υπαλλήλους</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Sheet1!$R$75:$R$77</c:f>
              <c:strCache>
                <c:ptCount val="3"/>
                <c:pt idx="0">
                  <c:v>Καλύτερα από το 2016</c:v>
                </c:pt>
                <c:pt idx="1">
                  <c:v>Χειρότερα από το 2016</c:v>
                </c:pt>
                <c:pt idx="2">
                  <c:v>Στα ίδια επίπεδα</c:v>
                </c:pt>
              </c:strCache>
            </c:strRef>
          </c:cat>
          <c:val>
            <c:numRef>
              <c:f>Sheet1!$S$75:$S$77</c:f>
              <c:numCache>
                <c:formatCode>####%</c:formatCode>
                <c:ptCount val="3"/>
                <c:pt idx="0">
                  <c:v>4.5977011494252866E-2</c:v>
                </c:pt>
                <c:pt idx="1">
                  <c:v>0.70114942528735624</c:v>
                </c:pt>
                <c:pt idx="2">
                  <c:v>0.24137931034482771</c:v>
                </c:pt>
              </c:numCache>
            </c:numRef>
          </c:val>
        </c:ser>
        <c:ser>
          <c:idx val="1"/>
          <c:order val="1"/>
          <c:tx>
            <c:strRef>
              <c:f>Sheet1!$T$74</c:f>
              <c:strCache>
                <c:ptCount val="1"/>
                <c:pt idx="0">
                  <c:v>Επιχειρήσεις με μισθωτούς υπαλλήλους</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Sheet1!$R$75:$R$77</c:f>
              <c:strCache>
                <c:ptCount val="3"/>
                <c:pt idx="0">
                  <c:v>Καλύτερα από το 2016</c:v>
                </c:pt>
                <c:pt idx="1">
                  <c:v>Χειρότερα από το 2016</c:v>
                </c:pt>
                <c:pt idx="2">
                  <c:v>Στα ίδια επίπεδα</c:v>
                </c:pt>
              </c:strCache>
            </c:strRef>
          </c:cat>
          <c:val>
            <c:numRef>
              <c:f>Sheet1!$T$75:$T$77</c:f>
              <c:numCache>
                <c:formatCode>####%</c:formatCode>
                <c:ptCount val="3"/>
                <c:pt idx="0">
                  <c:v>7.8431372549019607E-2</c:v>
                </c:pt>
                <c:pt idx="1">
                  <c:v>0.54901960784313764</c:v>
                </c:pt>
                <c:pt idx="2">
                  <c:v>0.37254901960784514</c:v>
                </c:pt>
              </c:numCache>
            </c:numRef>
          </c:val>
        </c:ser>
        <c:dLbls>
          <c:showLegendKey val="0"/>
          <c:showVal val="0"/>
          <c:showCatName val="0"/>
          <c:showSerName val="0"/>
          <c:showPercent val="0"/>
          <c:showBubbleSize val="0"/>
        </c:dLbls>
        <c:gapWidth val="150"/>
        <c:axId val="218109824"/>
        <c:axId val="218111360"/>
      </c:barChart>
      <c:catAx>
        <c:axId val="218109824"/>
        <c:scaling>
          <c:orientation val="minMax"/>
        </c:scaling>
        <c:delete val="0"/>
        <c:axPos val="b"/>
        <c:numFmt formatCode="General" sourceLinked="1"/>
        <c:majorTickMark val="out"/>
        <c:minorTickMark val="none"/>
        <c:tickLblPos val="nextTo"/>
        <c:crossAx val="218111360"/>
        <c:crosses val="autoZero"/>
        <c:auto val="1"/>
        <c:lblAlgn val="ctr"/>
        <c:lblOffset val="100"/>
        <c:noMultiLvlLbl val="0"/>
      </c:catAx>
      <c:valAx>
        <c:axId val="218111360"/>
        <c:scaling>
          <c:orientation val="minMax"/>
          <c:max val="1"/>
        </c:scaling>
        <c:delete val="0"/>
        <c:axPos val="l"/>
        <c:majorGridlines/>
        <c:numFmt formatCode="####%" sourceLinked="1"/>
        <c:majorTickMark val="out"/>
        <c:minorTickMark val="none"/>
        <c:tickLblPos val="nextTo"/>
        <c:crossAx val="218109824"/>
        <c:crosses val="autoZero"/>
        <c:crossBetween val="between"/>
        <c:majorUnit val="0.2"/>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a:t>Καλύτερη περίοδος</a:t>
            </a:r>
            <a:r>
              <a:rPr lang="el-GR" sz="1400" baseline="0"/>
              <a:t> των εκπτώσεων από άποψη αγοραστικής κίνησης</a:t>
            </a:r>
            <a:endParaRPr lang="el-GR" sz="14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Sheet1!$Q$110:$Q$112</c:f>
              <c:strCache>
                <c:ptCount val="3"/>
                <c:pt idx="0">
                  <c:v>10/7 έως 31/7</c:v>
                </c:pt>
                <c:pt idx="1">
                  <c:v>1/8 έως 14/8</c:v>
                </c:pt>
                <c:pt idx="2">
                  <c:v>16/8 έως τέλος εκπτώσεων</c:v>
                </c:pt>
              </c:strCache>
            </c:strRef>
          </c:cat>
          <c:val>
            <c:numRef>
              <c:f>Sheet1!$T$110:$T$112</c:f>
              <c:numCache>
                <c:formatCode>####%</c:formatCode>
                <c:ptCount val="3"/>
                <c:pt idx="0">
                  <c:v>0.51754385964912364</c:v>
                </c:pt>
                <c:pt idx="1">
                  <c:v>0.33333333333333337</c:v>
                </c:pt>
                <c:pt idx="2">
                  <c:v>0.14912280701754385</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a:t>Αν οι πελάτες κατά την περίοδο των εκπτώσεων χρησιμοποίησαν κυρίως για τις αγορές τους πιστωτικές κάρτες ή μετρητά</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numFmt formatCode="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Sheet1!$B$122:$B$124</c:f>
              <c:strCache>
                <c:ptCount val="3"/>
                <c:pt idx="0">
                  <c:v>Πιστωτικές κάρτες </c:v>
                </c:pt>
                <c:pt idx="1">
                  <c:v>Μετρητά </c:v>
                </c:pt>
                <c:pt idx="2">
                  <c:v>Και τα δύο</c:v>
                </c:pt>
              </c:strCache>
            </c:strRef>
          </c:cat>
          <c:val>
            <c:numRef>
              <c:f>Sheet1!$E$122:$E$124</c:f>
              <c:numCache>
                <c:formatCode>####.0</c:formatCode>
                <c:ptCount val="3"/>
                <c:pt idx="0">
                  <c:v>0.52482269503546097</c:v>
                </c:pt>
                <c:pt idx="1">
                  <c:v>0.21985815602836944</c:v>
                </c:pt>
                <c:pt idx="2">
                  <c:v>0.25531914893617019</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a:t>Πως επηρέασε το άνοιγμα την Κυριακή 16 Ιουλίου, στον συνολικό τζίρο της εκπτωτικής περιόδου</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numFmt formatCode="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Sheet1!$Q$144:$Q$147</c:f>
              <c:strCache>
                <c:ptCount val="4"/>
                <c:pt idx="0">
                  <c:v>Θετικά</c:v>
                </c:pt>
                <c:pt idx="1">
                  <c:v>Αρνητικά</c:v>
                </c:pt>
                <c:pt idx="2">
                  <c:v>Δεν επηρέασε</c:v>
                </c:pt>
                <c:pt idx="3">
                  <c:v>ΔΓ/ΔΑ</c:v>
                </c:pt>
              </c:strCache>
            </c:strRef>
          </c:cat>
          <c:val>
            <c:numRef>
              <c:f>Sheet1!$T$144:$T$147</c:f>
              <c:numCache>
                <c:formatCode>####.0</c:formatCode>
                <c:ptCount val="4"/>
                <c:pt idx="0">
                  <c:v>9.6774193548387247E-2</c:v>
                </c:pt>
                <c:pt idx="1">
                  <c:v>0.38709677419355076</c:v>
                </c:pt>
                <c:pt idx="2">
                  <c:v>0.48387096774193816</c:v>
                </c:pt>
                <c:pt idx="3">
                  <c:v>3.2258064516129226E-2</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a:t>Πώς καλύπτουν την ανάγκη απασχόλησης προσωπικού για την λειτουργία του καταστήματος την Κυριακή</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numFmt formatCode="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Sheet1!$Q$159:$Q$160</c:f>
              <c:strCache>
                <c:ptCount val="2"/>
                <c:pt idx="0">
                  <c:v>Έχει επεκταθεί το ωράριο εργασίας των ήδη υπαρχόντων υπαλλήλων</c:v>
                </c:pt>
                <c:pt idx="1">
                  <c:v>Έχω επωμιστεί προσωπικά την κάλυψη της ανάγκης</c:v>
                </c:pt>
              </c:strCache>
            </c:strRef>
          </c:cat>
          <c:val>
            <c:numRef>
              <c:f>Sheet1!$T$159:$T$160</c:f>
              <c:numCache>
                <c:formatCode>####.0</c:formatCode>
                <c:ptCount val="2"/>
                <c:pt idx="0">
                  <c:v>0.16129032258064521</c:v>
                </c:pt>
                <c:pt idx="1">
                  <c:v>0.83870967741935976</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a:t>Σε τι βαθμό έχει επιβαρύνει το λειτουργικό κόστος του καταστήματος το άνοιγμα τις Κυριακές</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numFmt formatCode="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Sheet1!$R$174:$R$178</c:f>
              <c:strCache>
                <c:ptCount val="5"/>
                <c:pt idx="0">
                  <c:v>Πάρα πολύ</c:v>
                </c:pt>
                <c:pt idx="1">
                  <c:v>Πολύ</c:v>
                </c:pt>
                <c:pt idx="2">
                  <c:v>Λίγο</c:v>
                </c:pt>
                <c:pt idx="3">
                  <c:v>Καθόλου</c:v>
                </c:pt>
                <c:pt idx="4">
                  <c:v>ΔΓ/ΔΑ</c:v>
                </c:pt>
              </c:strCache>
            </c:strRef>
          </c:cat>
          <c:val>
            <c:numRef>
              <c:f>Sheet1!$U$174:$U$178</c:f>
              <c:numCache>
                <c:formatCode>####.0</c:formatCode>
                <c:ptCount val="5"/>
                <c:pt idx="0">
                  <c:v>6.4516129032258132E-2</c:v>
                </c:pt>
                <c:pt idx="1">
                  <c:v>0.16129032258064521</c:v>
                </c:pt>
                <c:pt idx="2">
                  <c:v>0.48387096774193816</c:v>
                </c:pt>
                <c:pt idx="3">
                  <c:v>0.19354838709677538</c:v>
                </c:pt>
                <c:pt idx="4">
                  <c:v>9.6774193548387247E-2</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67A6A-98ED-42E1-8B39-5C795F02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2129</Words>
  <Characters>11498</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kfilippou</dc:creator>
  <cp:lastModifiedBy>enikos.gr</cp:lastModifiedBy>
  <cp:revision>2</cp:revision>
  <cp:lastPrinted>2017-09-04T08:43:00Z</cp:lastPrinted>
  <dcterms:created xsi:type="dcterms:W3CDTF">2017-09-04T14:18:00Z</dcterms:created>
  <dcterms:modified xsi:type="dcterms:W3CDTF">2017-09-04T14:18:00Z</dcterms:modified>
</cp:coreProperties>
</file>