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331E" w14:textId="77777777" w:rsidR="009354F0" w:rsidRDefault="00F418F8">
      <w:pPr>
        <w:pStyle w:val="a"/>
        <w:spacing w:after="0" w:line="240" w:lineRule="auto"/>
        <w:rPr>
          <w:rFonts w:ascii="Times New Roman" w:eastAsia="Arial" w:hAnsi="Times New Roman" w:cs="Arial"/>
          <w:b/>
          <w:bCs/>
          <w:sz w:val="24"/>
          <w:szCs w:val="24"/>
          <w:lang w:eastAsia="zh-CN"/>
        </w:rPr>
      </w:pPr>
      <w:r>
        <w:rPr>
          <w:rFonts w:ascii="Times New Roman" w:eastAsia="Arial" w:hAnsi="Times New Roman" w:cs="Arial"/>
          <w:b/>
          <w:bCs/>
          <w:sz w:val="24"/>
          <w:szCs w:val="24"/>
          <w:lang w:eastAsia="zh-CN"/>
        </w:rPr>
        <w:t>Απόφαση 1806/2021</w:t>
      </w:r>
    </w:p>
    <w:p w14:paraId="47CDDC5E" w14:textId="77777777" w:rsidR="009354F0" w:rsidRDefault="009354F0">
      <w:pPr>
        <w:pStyle w:val="a"/>
        <w:spacing w:after="0" w:line="240" w:lineRule="auto"/>
        <w:rPr>
          <w:rFonts w:ascii="Times New Roman" w:eastAsia="Arial" w:hAnsi="Times New Roman" w:cs="Arial"/>
          <w:b/>
          <w:bCs/>
          <w:sz w:val="24"/>
          <w:szCs w:val="24"/>
          <w:lang w:eastAsia="zh-CN"/>
        </w:rPr>
      </w:pPr>
    </w:p>
    <w:p w14:paraId="3F8BCD27" w14:textId="77777777" w:rsidR="009354F0" w:rsidRDefault="00F418F8">
      <w:pPr>
        <w:pStyle w:val="a"/>
        <w:spacing w:after="0" w:line="360" w:lineRule="auto"/>
        <w:jc w:val="center"/>
        <w:rPr>
          <w:rFonts w:ascii="Times New Roman" w:eastAsia="Arial" w:hAnsi="Times New Roman" w:cs="Arial"/>
          <w:b/>
          <w:bCs/>
          <w:sz w:val="24"/>
          <w:szCs w:val="24"/>
          <w:lang w:eastAsia="zh-CN"/>
        </w:rPr>
      </w:pPr>
      <w:r>
        <w:rPr>
          <w:rFonts w:ascii="Times New Roman" w:eastAsia="Arial" w:hAnsi="Times New Roman" w:cs="Arial"/>
          <w:b/>
          <w:bCs/>
          <w:sz w:val="24"/>
          <w:szCs w:val="24"/>
          <w:lang w:eastAsia="zh-CN"/>
        </w:rPr>
        <w:t>ΤΟ</w:t>
      </w:r>
    </w:p>
    <w:p w14:paraId="714A2430" w14:textId="77777777" w:rsidR="009354F0" w:rsidRDefault="00F418F8">
      <w:pPr>
        <w:pStyle w:val="a"/>
        <w:spacing w:after="0" w:line="360" w:lineRule="auto"/>
        <w:jc w:val="center"/>
        <w:rPr>
          <w:rFonts w:ascii="Times New Roman" w:eastAsia="Arial" w:hAnsi="Times New Roman" w:cs="Arial"/>
          <w:b/>
          <w:bCs/>
          <w:sz w:val="24"/>
          <w:szCs w:val="24"/>
          <w:lang w:eastAsia="zh-CN"/>
        </w:rPr>
      </w:pPr>
      <w:r>
        <w:rPr>
          <w:rFonts w:ascii="Times New Roman" w:eastAsia="Arial" w:hAnsi="Times New Roman" w:cs="Arial"/>
          <w:b/>
          <w:bCs/>
          <w:sz w:val="24"/>
          <w:szCs w:val="24"/>
          <w:lang w:eastAsia="zh-CN"/>
        </w:rPr>
        <w:t>ΔΙΟΙΚΗΤΙΚΟ ΠΡΩΤΟΔΙΚΕΙΟ ΑΘΗΝΩΝ</w:t>
      </w:r>
    </w:p>
    <w:p w14:paraId="445B292B" w14:textId="77777777" w:rsidR="009354F0" w:rsidRDefault="00F418F8">
      <w:pPr>
        <w:pStyle w:val="a"/>
        <w:spacing w:after="0" w:line="360" w:lineRule="auto"/>
        <w:jc w:val="center"/>
      </w:pPr>
      <w:r>
        <w:rPr>
          <w:rStyle w:val="a8"/>
          <w:rFonts w:ascii="Times New Roman" w:eastAsia="Arial" w:hAnsi="Times New Roman" w:cs="Arial"/>
          <w:b/>
          <w:bCs/>
          <w:sz w:val="24"/>
          <w:szCs w:val="24"/>
          <w:lang w:eastAsia="zh-CN"/>
        </w:rPr>
        <w:t xml:space="preserve">ΤΜΗΜΑ 6ο </w:t>
      </w:r>
      <w:r>
        <w:rPr>
          <w:rStyle w:val="a8"/>
          <w:rFonts w:ascii="Times New Roman" w:eastAsia="Arial" w:hAnsi="Times New Roman" w:cs="Arial"/>
          <w:b/>
          <w:bCs/>
          <w:sz w:val="24"/>
          <w:szCs w:val="24"/>
          <w:lang w:val="en-US" w:eastAsia="zh-CN"/>
        </w:rPr>
        <w:t>MONO</w:t>
      </w:r>
      <w:r>
        <w:rPr>
          <w:rStyle w:val="a8"/>
          <w:rFonts w:ascii="Times New Roman" w:eastAsia="Arial" w:hAnsi="Times New Roman" w:cs="Arial"/>
          <w:b/>
          <w:bCs/>
          <w:sz w:val="24"/>
          <w:szCs w:val="24"/>
          <w:lang w:eastAsia="zh-CN"/>
        </w:rPr>
        <w:t>ΜΕΛΕΣ</w:t>
      </w:r>
    </w:p>
    <w:p w14:paraId="78472777" w14:textId="77777777" w:rsidR="009354F0" w:rsidRDefault="00F418F8">
      <w:pPr>
        <w:pStyle w:val="a"/>
        <w:spacing w:after="0" w:line="360" w:lineRule="auto"/>
        <w:jc w:val="both"/>
      </w:pPr>
      <w:r>
        <w:rPr>
          <w:rStyle w:val="a8"/>
          <w:rFonts w:ascii="Times New Roman" w:eastAsia="SimSun" w:hAnsi="Times New Roman" w:cs="Arial"/>
          <w:sz w:val="24"/>
          <w:szCs w:val="24"/>
          <w:lang w:eastAsia="zh-CN"/>
        </w:rPr>
        <w:tab/>
      </w:r>
      <w:r>
        <w:rPr>
          <w:rStyle w:val="a8"/>
          <w:rFonts w:ascii="Times New Roman" w:eastAsia="Arial" w:hAnsi="Times New Roman" w:cs="Arial"/>
          <w:spacing w:val="80"/>
          <w:sz w:val="24"/>
          <w:szCs w:val="24"/>
          <w:lang w:eastAsia="zh-CN"/>
        </w:rPr>
        <w:t>Συνεδρίασε</w:t>
      </w:r>
      <w:r>
        <w:rPr>
          <w:rStyle w:val="a8"/>
          <w:rFonts w:ascii="Times New Roman" w:eastAsia="Arial" w:hAnsi="Times New Roman" w:cs="Arial"/>
          <w:sz w:val="24"/>
          <w:szCs w:val="24"/>
          <w:lang w:eastAsia="zh-CN"/>
        </w:rPr>
        <w:t xml:space="preserve"> δημόσια στο ακροατήριό του, την 1η Ιουνίου 2020, με δικαστή την Αργυρώ Σταυρουλάκη, Πρωτοδίκη Δ.Δ. και γραμματέα τον Νικόλαο Γερνά, δικαστικό υπάλληλο,</w:t>
      </w:r>
    </w:p>
    <w:p w14:paraId="5CC2000F" w14:textId="77777777" w:rsidR="009354F0" w:rsidRDefault="00F418F8">
      <w:pPr>
        <w:pStyle w:val="a"/>
        <w:spacing w:after="0" w:line="360" w:lineRule="auto"/>
        <w:jc w:val="both"/>
      </w:pPr>
      <w:r>
        <w:rPr>
          <w:rStyle w:val="a8"/>
          <w:rFonts w:ascii="Times New Roman" w:eastAsia="SimSun" w:hAnsi="Times New Roman" w:cs="Arial"/>
          <w:sz w:val="24"/>
          <w:szCs w:val="24"/>
          <w:lang w:eastAsia="zh-CN"/>
        </w:rPr>
        <w:tab/>
      </w:r>
      <w:r>
        <w:rPr>
          <w:rStyle w:val="a8"/>
          <w:rFonts w:ascii="Times New Roman" w:eastAsia="Arial" w:hAnsi="Times New Roman" w:cs="Arial"/>
          <w:spacing w:val="80"/>
          <w:sz w:val="24"/>
          <w:szCs w:val="24"/>
          <w:lang w:eastAsia="zh-CN"/>
        </w:rPr>
        <w:t>για</w:t>
      </w:r>
      <w:r>
        <w:rPr>
          <w:rStyle w:val="a8"/>
          <w:rFonts w:ascii="Times New Roman" w:eastAsia="Arial" w:hAnsi="Times New Roman" w:cs="Arial"/>
          <w:sz w:val="24"/>
          <w:szCs w:val="24"/>
          <w:lang w:eastAsia="zh-CN"/>
        </w:rPr>
        <w:t xml:space="preserve"> να δικάσει την αγωγή με ημερομηνία κατάθεσης 24-11-2015,</w:t>
      </w:r>
    </w:p>
    <w:p w14:paraId="198914CC" w14:textId="77777777" w:rsidR="009354F0" w:rsidRDefault="00F418F8">
      <w:pPr>
        <w:pStyle w:val="a"/>
        <w:spacing w:after="0" w:line="360" w:lineRule="auto"/>
        <w:jc w:val="both"/>
      </w:pPr>
      <w:r>
        <w:rPr>
          <w:rStyle w:val="a8"/>
          <w:rFonts w:ascii="Times New Roman" w:eastAsia="SimSun" w:hAnsi="Times New Roman" w:cs="Arial"/>
          <w:sz w:val="24"/>
          <w:szCs w:val="24"/>
          <w:lang w:eastAsia="zh-CN"/>
        </w:rPr>
        <w:tab/>
      </w:r>
      <w:r>
        <w:rPr>
          <w:rStyle w:val="a8"/>
          <w:rFonts w:ascii="Times New Roman" w:eastAsia="Arial" w:hAnsi="Times New Roman" w:cs="Arial"/>
          <w:spacing w:val="80"/>
          <w:sz w:val="24"/>
          <w:szCs w:val="24"/>
          <w:lang w:eastAsia="zh-CN"/>
        </w:rPr>
        <w:t>της</w:t>
      </w:r>
      <w:r>
        <w:rPr>
          <w:rStyle w:val="a8"/>
          <w:rFonts w:ascii="Times New Roman" w:eastAsia="Arial" w:hAnsi="Times New Roman" w:cs="Arial"/>
          <w:sz w:val="24"/>
          <w:szCs w:val="24"/>
        </w:rPr>
        <w:t xml:space="preserve"> Δ.Β.-Α................, έσποινας - Β</w:t>
      </w:r>
      <w:r>
        <w:rPr>
          <w:rStyle w:val="a8"/>
          <w:rFonts w:ascii="Times New Roman" w:eastAsia="Arial" w:hAnsi="Times New Roman" w:cs="Arial"/>
          <w:sz w:val="24"/>
          <w:szCs w:val="24"/>
        </w:rPr>
        <w:t>ικτωρίας ΑΖΑΡΙΑ του Δημητρίου, κατοίκου Αθηνών, οδός Λέλας Καραγιάννη αριθμ. 23, η οποία παραστάθηκε με δήλωση του πληρεξούσιου δικηγόρου της Ιωάννη Γλέζου,</w:t>
      </w:r>
    </w:p>
    <w:p w14:paraId="3AEF8551" w14:textId="77777777" w:rsidR="009354F0" w:rsidRDefault="00F418F8">
      <w:pPr>
        <w:pStyle w:val="a"/>
        <w:spacing w:after="0" w:line="360" w:lineRule="auto"/>
        <w:jc w:val="both"/>
      </w:pPr>
      <w:r>
        <w:rPr>
          <w:rStyle w:val="a8"/>
          <w:rFonts w:ascii="Times New Roman" w:eastAsia="SimSun" w:hAnsi="Times New Roman" w:cs="Arial"/>
          <w:sz w:val="24"/>
          <w:szCs w:val="24"/>
          <w:lang w:eastAsia="zh-CN"/>
        </w:rPr>
        <w:tab/>
      </w:r>
      <w:r>
        <w:rPr>
          <w:rStyle w:val="a8"/>
          <w:rFonts w:ascii="Times New Roman" w:eastAsia="Arial" w:hAnsi="Times New Roman" w:cs="Arial"/>
          <w:spacing w:val="80"/>
          <w:sz w:val="24"/>
          <w:szCs w:val="24"/>
          <w:lang w:eastAsia="zh-CN"/>
        </w:rPr>
        <w:t>κατά</w:t>
      </w:r>
      <w:r>
        <w:rPr>
          <w:rStyle w:val="a8"/>
          <w:rFonts w:ascii="Times New Roman" w:eastAsia="Arial" w:hAnsi="Times New Roman" w:cs="Arial"/>
          <w:sz w:val="24"/>
          <w:szCs w:val="24"/>
          <w:lang w:eastAsia="zh-CN"/>
        </w:rPr>
        <w:t xml:space="preserve"> του νομικού προσώπου δημοσίου δικαίου (ν.π.δ.δ.) «Ίδρυμα Κοινωνικών Ασφαλίσεων - Ενιαίο Ταμε</w:t>
      </w:r>
      <w:r>
        <w:rPr>
          <w:rStyle w:val="a8"/>
          <w:rFonts w:ascii="Times New Roman" w:eastAsia="Arial" w:hAnsi="Times New Roman" w:cs="Arial"/>
          <w:sz w:val="24"/>
          <w:szCs w:val="24"/>
          <w:lang w:eastAsia="zh-CN"/>
        </w:rPr>
        <w:t>ίο Ασφάλισης Μισθωτών» (Ι.Κ.Α.-Ε.Τ.Α.Μ.) και ήδη του ν.π.δ.δ. «Ηλεκτρονικός Εθνικός Φορέας Κοινωνικής Ασφάλισης» (</w:t>
      </w:r>
      <w:r>
        <w:rPr>
          <w:rStyle w:val="a8"/>
          <w:rFonts w:ascii="Times New Roman" w:eastAsia="Arial" w:hAnsi="Times New Roman" w:cs="Arial"/>
          <w:sz w:val="24"/>
          <w:szCs w:val="24"/>
          <w:lang w:val="en-US" w:eastAsia="zh-CN"/>
        </w:rPr>
        <w:t>e</w:t>
      </w:r>
      <w:r>
        <w:rPr>
          <w:rStyle w:val="a8"/>
          <w:rFonts w:ascii="Times New Roman" w:eastAsia="Arial" w:hAnsi="Times New Roman" w:cs="Arial"/>
          <w:sz w:val="24"/>
          <w:szCs w:val="24"/>
          <w:lang w:eastAsia="zh-CN"/>
        </w:rPr>
        <w:t>-Ε.Φ.Κ.Α.), που εκπροσωπείται από το Διοικητή του και δεν παραστάθηκε.</w:t>
      </w:r>
    </w:p>
    <w:p w14:paraId="11DA388A" w14:textId="77777777" w:rsidR="009354F0" w:rsidRDefault="00F418F8">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w:hAnsi="Times New Roman" w:cs="Arial"/>
          <w:b/>
          <w:bCs/>
          <w:sz w:val="24"/>
          <w:szCs w:val="24"/>
          <w:lang w:eastAsia="el-GR"/>
        </w:rPr>
      </w:pPr>
      <w:r>
        <w:rPr>
          <w:rFonts w:ascii="Times New Roman" w:eastAsia="Arial" w:hAnsi="Times New Roman" w:cs="Arial"/>
          <w:b/>
          <w:bCs/>
          <w:sz w:val="24"/>
          <w:szCs w:val="24"/>
          <w:lang w:eastAsia="el-GR"/>
        </w:rPr>
        <w:t>Αφού μελέτησε τη δικογραφία, σκέφτηκε κατά το νόμο.</w:t>
      </w:r>
    </w:p>
    <w:p w14:paraId="7BB7BDE0" w14:textId="77777777" w:rsidR="009354F0" w:rsidRDefault="00F418F8">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w:hAnsi="Times New Roman" w:cs="Arial"/>
          <w:b/>
          <w:bCs/>
          <w:sz w:val="24"/>
          <w:szCs w:val="24"/>
          <w:lang w:eastAsia="el-GR"/>
        </w:rPr>
      </w:pPr>
      <w:r>
        <w:rPr>
          <w:rFonts w:ascii="Times New Roman" w:eastAsia="Arial" w:hAnsi="Times New Roman" w:cs="Arial"/>
          <w:b/>
          <w:bCs/>
          <w:sz w:val="24"/>
          <w:szCs w:val="24"/>
          <w:lang w:eastAsia="el-GR"/>
        </w:rPr>
        <w:t xml:space="preserve">Η κρίση του </w:t>
      </w:r>
      <w:r>
        <w:rPr>
          <w:rFonts w:ascii="Times New Roman" w:eastAsia="Arial" w:hAnsi="Times New Roman" w:cs="Arial"/>
          <w:b/>
          <w:bCs/>
          <w:sz w:val="24"/>
          <w:szCs w:val="24"/>
          <w:lang w:eastAsia="el-GR"/>
        </w:rPr>
        <w:t>είναι η εξής:</w:t>
      </w:r>
    </w:p>
    <w:p w14:paraId="52FC3FF9" w14:textId="77777777" w:rsidR="009354F0" w:rsidRDefault="00F418F8">
      <w:pPr>
        <w:pStyle w:val="a"/>
        <w:tabs>
          <w:tab w:val="left" w:pos="709"/>
        </w:tabs>
        <w:spacing w:after="0" w:line="360" w:lineRule="auto"/>
        <w:jc w:val="both"/>
      </w:pPr>
      <w:r>
        <w:rPr>
          <w:rStyle w:val="a8"/>
          <w:rFonts w:ascii="Times New Roman" w:hAnsi="Times New Roman" w:cs="Arial"/>
          <w:sz w:val="24"/>
          <w:szCs w:val="24"/>
          <w:lang w:eastAsia="el-GR"/>
        </w:rPr>
        <w:tab/>
      </w:r>
      <w:r>
        <w:rPr>
          <w:rStyle w:val="a8"/>
          <w:rFonts w:ascii="Times New Roman" w:eastAsia="Arial" w:hAnsi="Times New Roman" w:cs="Arial"/>
          <w:sz w:val="24"/>
          <w:szCs w:val="24"/>
          <w:lang w:eastAsia="el-GR"/>
        </w:rPr>
        <w:t>1. Επειδή, η υπό κρίση αγωγή νομίμως επαναφέρεται προς συζήτηση, μετά την έκδοση της υπ’ αριθμ. 3896/2020 προδικαστικής απόφασης του Δικαστηρίου αυτού (Τμήμα 6ο, Μονομελές), περί συμπλήρωσης των αποδείξεων και την εκτέλεση όσων διατάχθηκαν σ</w:t>
      </w:r>
      <w:r>
        <w:rPr>
          <w:rStyle w:val="a8"/>
          <w:rFonts w:ascii="Times New Roman" w:eastAsia="Arial" w:hAnsi="Times New Roman" w:cs="Arial"/>
          <w:sz w:val="24"/>
          <w:szCs w:val="24"/>
          <w:lang w:eastAsia="el-GR"/>
        </w:rPr>
        <w:t>χετικώς. Με την αγωγή αυτή, για την άσκηση της οποίας δεν απαιτείται η καταβολή δικαστικού ενσήμου (βλ. άρθρο 274 παρ. 2 του Κ.Δ.Δ.), ζητείται, παραδεκτώς, να υποχρεωθεί το εναγόμενο ν.π.δ.δ. να καταβάλει στην ενάγουσα, νομιμοτόκως από την επίδοση της αγωγ</w:t>
      </w:r>
      <w:r>
        <w:rPr>
          <w:rStyle w:val="a8"/>
          <w:rFonts w:ascii="Times New Roman" w:eastAsia="Arial" w:hAnsi="Times New Roman" w:cs="Arial"/>
          <w:sz w:val="24"/>
          <w:szCs w:val="24"/>
          <w:lang w:eastAsia="el-GR"/>
        </w:rPr>
        <w:t>ής και μέχρι την ολοσχερή της εξόφληση, το ποσό των 4.546,80 ευρώ, ως αποζημίωση, κατά τα άρθρα 105 και 106 του Εισαγωγικού Νόμου του Αστικού Κώδικα (Εισ.Ν.Α.Κ.), για την αποκατάσταση της ζημίας, την οποία επικαλείται ότι υπέστη από παράνομες ενέργειες και</w:t>
      </w:r>
      <w:r>
        <w:rPr>
          <w:rStyle w:val="a8"/>
          <w:rFonts w:ascii="Times New Roman" w:eastAsia="Arial" w:hAnsi="Times New Roman" w:cs="Arial"/>
          <w:sz w:val="24"/>
          <w:szCs w:val="24"/>
          <w:lang w:eastAsia="el-GR"/>
        </w:rPr>
        <w:t xml:space="preserve"> παραλείψεις των οργάνων αυτού, με τις οποίες επήλθε, όπως υποστηρίζει, καθυστέρηση ως προς τον προσδιορισμό του χρόνου ασφάλισής της στο Ι.Κ.Α., στο πλαίσιο ελέγχου των προϋποθέσεων περί διαδοχικής ασφάλισης.</w:t>
      </w:r>
    </w:p>
    <w:p w14:paraId="322F0834" w14:textId="77777777" w:rsidR="009354F0" w:rsidRDefault="00F418F8">
      <w:pPr>
        <w:pStyle w:val="a"/>
        <w:tabs>
          <w:tab w:val="left" w:pos="709"/>
        </w:tabs>
        <w:spacing w:after="0" w:line="360" w:lineRule="auto"/>
        <w:jc w:val="both"/>
      </w:pPr>
      <w:r>
        <w:rPr>
          <w:rStyle w:val="a8"/>
          <w:rFonts w:ascii="Times New Roman" w:hAnsi="Times New Roman" w:cs="Arial"/>
          <w:sz w:val="24"/>
          <w:szCs w:val="24"/>
          <w:lang w:eastAsia="el-GR"/>
        </w:rPr>
        <w:tab/>
      </w:r>
      <w:r>
        <w:rPr>
          <w:rStyle w:val="a8"/>
          <w:rFonts w:ascii="Times New Roman" w:eastAsia="Arial" w:hAnsi="Times New Roman" w:cs="Arial"/>
          <w:sz w:val="24"/>
          <w:szCs w:val="24"/>
          <w:lang w:eastAsia="el-GR"/>
        </w:rPr>
        <w:t>2. Επειδή, με το άρθρο 51 παρ. 1 του ν. 4387/</w:t>
      </w:r>
      <w:r>
        <w:rPr>
          <w:rStyle w:val="a8"/>
          <w:rFonts w:ascii="Times New Roman" w:eastAsia="Arial" w:hAnsi="Times New Roman" w:cs="Arial"/>
          <w:sz w:val="24"/>
          <w:szCs w:val="24"/>
          <w:lang w:eastAsia="el-GR"/>
        </w:rPr>
        <w:t xml:space="preserve">2016 (Φ.Ε.Κ. Α’ 85), συστάθηκε το ν.π.δ.δ. «Ενιαίος Φορέας Κοινωνικής Ασφάλισης» (Ε.Φ.Κ.Α.), στο οποίο εντάχθηκε αυτοδίκαια, από 1-1-2017, μεταξύ άλλων, το Ι.Κ.Α.-Ε.Τ.Α.Μ. (άρθρο 53 παρ. 1 περ. Α’). </w:t>
      </w:r>
      <w:r>
        <w:rPr>
          <w:rStyle w:val="a8"/>
          <w:rFonts w:ascii="Times New Roman" w:eastAsia="Arial" w:hAnsi="Times New Roman" w:cs="Arial"/>
          <w:sz w:val="24"/>
          <w:szCs w:val="24"/>
          <w:lang w:eastAsia="el-GR"/>
        </w:rPr>
        <w:lastRenderedPageBreak/>
        <w:t>Περαιτέρω, σύμφωνα με το άρθρο 70 παρ. 9 του ν. 4387/2016</w:t>
      </w:r>
      <w:r>
        <w:rPr>
          <w:rStyle w:val="a8"/>
          <w:rFonts w:ascii="Times New Roman" w:eastAsia="Arial" w:hAnsi="Times New Roman" w:cs="Arial"/>
          <w:sz w:val="24"/>
          <w:szCs w:val="24"/>
          <w:lang w:eastAsia="el-GR"/>
        </w:rPr>
        <w:t>, ο Ε.Φ.Κ.Α. συνεχίζει τις εκκρεμείς δίκες που αφορούν διαφορές ή υποθέσεις των εντασσομένων σε αυτόν φορέων κύριας ασφάλισης. Ήδη, με το άρθρο 1 του ν. 4670/2020 (Φ.Ε.Κ. Α’ 43), με έναρξη ισχύος από 1-3-2020, σύμφωνα με το άρθρο 108 αυτού, ο Ε.Φ.Κ.Α. μετο</w:t>
      </w:r>
      <w:r>
        <w:rPr>
          <w:rStyle w:val="a8"/>
          <w:rFonts w:ascii="Times New Roman" w:eastAsia="Arial" w:hAnsi="Times New Roman" w:cs="Arial"/>
          <w:sz w:val="24"/>
          <w:szCs w:val="24"/>
          <w:lang w:eastAsia="el-GR"/>
        </w:rPr>
        <w:t>νομάσθηκε σε «Ηλεκτρονικό Εθνικό Φορέα Κοινωνικής Ασφάλισης» (e-Ε.Φ.Κ.Α.), ο οποίος νομίμως συνεχίζει την παρούσα δίκη. Εξάλλου, η συζήτηση της υπόθεσης χώρησε νομίμως κατά την παρούσα δικάσιμο, παρά την απουσία του καθ’ ου, το οποίο είχε κλητευθεί εμπρόθε</w:t>
      </w:r>
      <w:r>
        <w:rPr>
          <w:rStyle w:val="a8"/>
          <w:rFonts w:ascii="Times New Roman" w:eastAsia="Arial" w:hAnsi="Times New Roman" w:cs="Arial"/>
          <w:sz w:val="24"/>
          <w:szCs w:val="24"/>
          <w:lang w:eastAsia="el-GR"/>
        </w:rPr>
        <w:t>σμα και εν γένει νομότυπα προκειμένου να παρασταθεί σε αυτήν (βλ. το από 6-4-2020 αποδεικτικό της Επιμελήτριας Δικαστηρίων Ασπασίας Παπακωνσταντίνου, περί επίδοσης της υπ’ αριθμ. 3896/2020 απόφασης του Δικαστηρίου αυτού, που επέχει θέση κλήτευσης των διαδί</w:t>
      </w:r>
      <w:r>
        <w:rPr>
          <w:rStyle w:val="a8"/>
          <w:rFonts w:ascii="Times New Roman" w:eastAsia="Arial" w:hAnsi="Times New Roman" w:cs="Arial"/>
          <w:sz w:val="24"/>
          <w:szCs w:val="24"/>
          <w:lang w:eastAsia="el-GR"/>
        </w:rPr>
        <w:t>κων για την ορισθείσα δικάσιμο της 1ης-6-2020).</w:t>
      </w:r>
    </w:p>
    <w:p w14:paraId="515A7713" w14:textId="77777777" w:rsidR="009354F0" w:rsidRDefault="00F418F8">
      <w:pPr>
        <w:pStyle w:val="a"/>
        <w:tabs>
          <w:tab w:val="left" w:pos="709"/>
        </w:tabs>
        <w:spacing w:after="0" w:line="360" w:lineRule="auto"/>
        <w:jc w:val="both"/>
      </w:pPr>
      <w:r>
        <w:rPr>
          <w:rStyle w:val="a8"/>
          <w:rFonts w:ascii="Times New Roman" w:hAnsi="Times New Roman" w:cs="Arial"/>
          <w:sz w:val="24"/>
          <w:szCs w:val="24"/>
          <w:lang w:eastAsia="el-GR"/>
        </w:rPr>
        <w:tab/>
      </w:r>
      <w:r>
        <w:rPr>
          <w:rStyle w:val="a8"/>
          <w:rFonts w:ascii="Times New Roman" w:eastAsia="Arial" w:hAnsi="Times New Roman" w:cs="Arial"/>
          <w:sz w:val="24"/>
          <w:szCs w:val="24"/>
          <w:lang w:eastAsia="el-GR"/>
        </w:rPr>
        <w:t>3. Επειδή, στον Εισαγωγικό Νόμο του Αστικού Κώδικα (Εισ.Ν.Α.Κ., π.δ. 456/1984, Φ.Ε.Κ. Α’ 164), ορίζεται στο άρθρο 105 ότι: «Για παράνομες πράξεις ή παραλείψεις των οργάνων του δημοσίου κατά την άσκηση της δ</w:t>
      </w:r>
      <w:r>
        <w:rPr>
          <w:rStyle w:val="a8"/>
          <w:rFonts w:ascii="Times New Roman" w:eastAsia="Arial" w:hAnsi="Times New Roman" w:cs="Arial"/>
          <w:sz w:val="24"/>
          <w:szCs w:val="24"/>
          <w:lang w:eastAsia="el-GR"/>
        </w:rPr>
        <w:t>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ότι: «Οι διατάξεις των δύο προηγούμενων άρθρων εφαρμό</w:t>
      </w:r>
      <w:r>
        <w:rPr>
          <w:rStyle w:val="a8"/>
          <w:rFonts w:ascii="Times New Roman" w:eastAsia="Arial" w:hAnsi="Times New Roman" w:cs="Arial"/>
          <w:sz w:val="24"/>
          <w:szCs w:val="24"/>
          <w:lang w:eastAsia="el-GR"/>
        </w:rPr>
        <w:t>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των διατάξεων αυτών, ευθύνη του Δημοσίου ή των ν.π.δ.δ. προς αποζημί</w:t>
      </w:r>
      <w:r>
        <w:rPr>
          <w:rStyle w:val="a8"/>
          <w:rFonts w:ascii="Times New Roman" w:eastAsia="Arial" w:hAnsi="Times New Roman" w:cs="Arial"/>
          <w:sz w:val="24"/>
          <w:szCs w:val="24"/>
          <w:lang w:eastAsia="el-GR"/>
        </w:rPr>
        <w:t>ωση γεννάται όχι μόνο από την έκδοση μη νόμιμης εκτελεστής διοικητικής πράξης ή από τη μη νόμιμη παράλειψη έκδοσης τέτοιας πράξης, αλλά και από μη νόμιμες υλικές ενέργειες των οργάνων του Δημοσίου ή του ν.π.δ.δ. ή από παραλείψεις οφειλόμενων νομίμων υλικών</w:t>
      </w:r>
      <w:r>
        <w:rPr>
          <w:rStyle w:val="a8"/>
          <w:rFonts w:ascii="Times New Roman" w:eastAsia="Arial" w:hAnsi="Times New Roman" w:cs="Arial"/>
          <w:sz w:val="24"/>
          <w:szCs w:val="24"/>
          <w:lang w:eastAsia="el-GR"/>
        </w:rPr>
        <w:t xml:space="preserve"> ενεργειών, εφόσον οι υλικές αυτές ενέργειες ή παραλείψεις συνάπτονται με την οργάνωση και λειτουργία των δημόσιων υπηρεσιών. Εξάλλου, υπάρχει ευθύνη του Δημοσίου ή του ν.π.δ.δ., τηρουμένων και των λοιπών προϋποθέσεων του νόμου, όχι μόνο όταν με πράξη ή πα</w:t>
      </w:r>
      <w:r>
        <w:rPr>
          <w:rStyle w:val="a8"/>
          <w:rFonts w:ascii="Times New Roman" w:eastAsia="Arial" w:hAnsi="Times New Roman" w:cs="Arial"/>
          <w:sz w:val="24"/>
          <w:szCs w:val="24"/>
          <w:lang w:eastAsia="el-GR"/>
        </w:rPr>
        <w:t>ράλειψη οργάνου του παραβιάζεται συγκεκριμένη διάταξη 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w:t>
      </w:r>
      <w:r>
        <w:rPr>
          <w:rStyle w:val="a8"/>
          <w:rFonts w:ascii="Times New Roman" w:eastAsia="Arial" w:hAnsi="Times New Roman" w:cs="Arial"/>
          <w:sz w:val="24"/>
          <w:szCs w:val="24"/>
          <w:lang w:eastAsia="el-GR"/>
        </w:rPr>
        <w:t xml:space="preserve">ας και τις αρχές της καλής πίστης. Ο κατά τα ανωτέρω παράνομος χαρακτήρας της ζημιογόνου πράξης, παράλειψης ή υλικής ενέργειας αρκεί για να στοιχειοθετηθεί η ευθύνη του Δημοσίου ή του ν.π.δ.δ., χωρίς να απαιτείται και η διαπίστωση πταίσματος </w:t>
      </w:r>
      <w:r>
        <w:rPr>
          <w:rStyle w:val="a8"/>
          <w:rFonts w:ascii="Times New Roman" w:eastAsia="Arial" w:hAnsi="Times New Roman" w:cs="Arial"/>
          <w:sz w:val="24"/>
          <w:szCs w:val="24"/>
          <w:lang w:eastAsia="el-GR"/>
        </w:rPr>
        <w:lastRenderedPageBreak/>
        <w:t>του οργάνου το</w:t>
      </w:r>
      <w:r>
        <w:rPr>
          <w:rStyle w:val="a8"/>
          <w:rFonts w:ascii="Times New Roman" w:eastAsia="Arial" w:hAnsi="Times New Roman" w:cs="Arial"/>
          <w:sz w:val="24"/>
          <w:szCs w:val="24"/>
          <w:lang w:eastAsia="el-GR"/>
        </w:rPr>
        <w:t>υ (βλ. ΣτΕ 3292/2017, 1253/2017, 1055/2016, 877/2013 7μ. κ.ά.). Απαραίτητη, πάντως, προϋπόθεση για την επιδίκαση αποζημίωσης είναι η ύπαρξη αιτιώδους συνδέσμου μεταξύ της παράνομης πράξης ή παράλειψης ή υλικής ενέργειας ή παράλειψης υλικής ενεργείας του δη</w:t>
      </w:r>
      <w:r>
        <w:rPr>
          <w:rStyle w:val="a8"/>
          <w:rFonts w:ascii="Times New Roman" w:eastAsia="Arial" w:hAnsi="Times New Roman" w:cs="Arial"/>
          <w:sz w:val="24"/>
          <w:szCs w:val="24"/>
          <w:lang w:eastAsia="el-GR"/>
        </w:rPr>
        <w:t xml:space="preserve">μόσιου οργάνου και της ζημίας που επήλθε. Αιτιώδης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και χωρίς τη </w:t>
      </w:r>
      <w:r>
        <w:rPr>
          <w:rStyle w:val="a8"/>
          <w:rFonts w:ascii="Times New Roman" w:eastAsia="Arial" w:hAnsi="Times New Roman" w:cs="Arial"/>
          <w:sz w:val="24"/>
          <w:szCs w:val="24"/>
          <w:lang w:eastAsia="el-GR"/>
        </w:rPr>
        <w:t>μεσολάβηση άλλου περιστατικού, να επιφέρει τη ζημία και την επέφερε στη συγκεκριμένη περίπτωση (βλ. ΣτΕ 3292/2017, 1140/2017, 334/2008 7μ. κ.ά.).</w:t>
      </w:r>
    </w:p>
    <w:p w14:paraId="1696F8FC" w14:textId="77777777" w:rsidR="009354F0" w:rsidRDefault="00F418F8">
      <w:pPr>
        <w:pStyle w:val="a"/>
        <w:tabs>
          <w:tab w:val="left" w:pos="709"/>
        </w:tabs>
        <w:spacing w:after="0" w:line="360" w:lineRule="auto"/>
        <w:jc w:val="both"/>
      </w:pPr>
      <w:r>
        <w:rPr>
          <w:rStyle w:val="a8"/>
          <w:rFonts w:ascii="Times New Roman" w:hAnsi="Times New Roman" w:cs="Arial"/>
          <w:sz w:val="24"/>
          <w:szCs w:val="24"/>
          <w:lang w:eastAsia="el-GR"/>
        </w:rPr>
        <w:tab/>
      </w:r>
      <w:r>
        <w:rPr>
          <w:rStyle w:val="a8"/>
          <w:rFonts w:ascii="Times New Roman" w:eastAsia="Arial" w:hAnsi="Times New Roman" w:cs="Arial"/>
          <w:sz w:val="24"/>
          <w:szCs w:val="24"/>
          <w:lang w:eastAsia="el-GR"/>
        </w:rPr>
        <w:t>4. Επειδή, στο ν. 2690/1999 «</w:t>
      </w:r>
      <w:r>
        <w:rPr>
          <w:rStyle w:val="a8"/>
          <w:rFonts w:ascii="Times New Roman" w:eastAsia="Arial" w:hAnsi="Times New Roman" w:cs="Arial"/>
          <w:sz w:val="24"/>
          <w:szCs w:val="24"/>
        </w:rPr>
        <w:t xml:space="preserve">Κύρωση του Κώδικα Διοικητικής Διαδικασίας και </w:t>
      </w:r>
      <w:r>
        <w:rPr>
          <w:rStyle w:val="a8"/>
          <w:rFonts w:ascii="Times New Roman" w:eastAsia="Arial" w:hAnsi="Times New Roman" w:cs="Arial"/>
          <w:sz w:val="24"/>
          <w:szCs w:val="24"/>
          <w:lang w:eastAsia="el-GR"/>
        </w:rPr>
        <w:t>άλλες διατάξεις» (Φ.Ε.Κ. Α’ 45), π</w:t>
      </w:r>
      <w:r>
        <w:rPr>
          <w:rStyle w:val="a8"/>
          <w:rFonts w:ascii="Times New Roman" w:eastAsia="Arial" w:hAnsi="Times New Roman" w:cs="Arial"/>
          <w:sz w:val="24"/>
          <w:szCs w:val="24"/>
          <w:lang w:eastAsia="el-GR"/>
        </w:rPr>
        <w:t>ροβλέπεται στο άρθρο 4 ότι: «1. α. Οι δημόσιες υπηρεσίες, οι οργανισμοί τοπικής αυτοδιοίκησης και τα νομικά πρόσωπα δημόσιου δικαίου, όταν υποβάλλονται αιτήσεις, οφείλουν να διεκπεραιώνουν τις υποθέσεις των ενδιαφερομένων και να αποφαίνονται για τα αιτήματ</w:t>
      </w:r>
      <w:r>
        <w:rPr>
          <w:rStyle w:val="a8"/>
          <w:rFonts w:ascii="Times New Roman" w:eastAsia="Arial" w:hAnsi="Times New Roman" w:cs="Arial"/>
          <w:sz w:val="24"/>
          <w:szCs w:val="24"/>
          <w:lang w:eastAsia="el-GR"/>
        </w:rPr>
        <w:t>ά τους μέσα σε προθεσμία πενήντα (50) ημερών, εφόσον από ειδικές διατάξεις δεν προβλέπονται μικρότερες προθεσμίες. Η προθεσμία αρχίζει από την κατάθεση της αίτησης στην αρμόδια υπηρεσία και την υποβολή ή συγκέντρωση του συνόλου των απαιτούμενων δικαιολογητ</w:t>
      </w:r>
      <w:r>
        <w:rPr>
          <w:rStyle w:val="a8"/>
          <w:rFonts w:ascii="Times New Roman" w:eastAsia="Arial" w:hAnsi="Times New Roman" w:cs="Arial"/>
          <w:sz w:val="24"/>
          <w:szCs w:val="24"/>
          <w:lang w:eastAsia="el-GR"/>
        </w:rPr>
        <w:t xml:space="preserve">ικών, πιστοποιητικών ή στοιχείων. Αν η αίτηση υποβληθεί σε αναρμόδια υπηρεσία, η υπηρεσία αυτή οφείλει, μέσα σε τρεις (3) ημέρες, να τη διαβιβάσει στην αρμόδια και να γνωστοποιήσει τούτο στον ενδιαφερόμενο. Στην περίπτωση αυτή η προθεσμία αρχίζει από τότε </w:t>
      </w:r>
      <w:r>
        <w:rPr>
          <w:rStyle w:val="a8"/>
          <w:rFonts w:ascii="Times New Roman" w:eastAsia="Arial" w:hAnsi="Times New Roman" w:cs="Arial"/>
          <w:sz w:val="24"/>
          <w:szCs w:val="24"/>
          <w:lang w:eastAsia="el-GR"/>
        </w:rPr>
        <w:t>που περιήλθε η αίτηση στην αρμόδια υπηρεσία. Για υποθέσεις αρμοδιότητας περισσότερων υπηρεσιών, η προθεσμία του πρώτου εδαφίου παρατείνεται κατά δέκα (10), ακόμη, ημέρες. β. Με απόφαση του Υπουργού Εσωτερικών, Δημόσιας Διοίκησης και Αποκέντρωσης και του κα</w:t>
      </w:r>
      <w:r>
        <w:rPr>
          <w:rStyle w:val="a8"/>
          <w:rFonts w:ascii="Times New Roman" w:eastAsia="Arial" w:hAnsi="Times New Roman" w:cs="Arial"/>
          <w:sz w:val="24"/>
          <w:szCs w:val="24"/>
          <w:lang w:eastAsia="el-GR"/>
        </w:rPr>
        <w:t>τά περίπτωση αρμόδιου Υπουργού μπορεί να ορίζεται, κατά περίπτωση, διαφορετική προθεσμία για τη διεκπεραίωση υποθέσεων, εφόσον το επιβάλλουν ειδικοί λόγοι, που αναφέρονται ρητώς σ’ αυτήν. 2. Εάν κάποια υπόθεση δεν μπορεί να διεκπεραιωθεί λόγω αντικειμενική</w:t>
      </w:r>
      <w:r>
        <w:rPr>
          <w:rStyle w:val="a8"/>
          <w:rFonts w:ascii="Times New Roman" w:eastAsia="Arial" w:hAnsi="Times New Roman" w:cs="Arial"/>
          <w:sz w:val="24"/>
          <w:szCs w:val="24"/>
          <w:lang w:eastAsia="el-GR"/>
        </w:rPr>
        <w:t>ς αδυναμίας, ειδικά αιτιολογημένης, η αρμόδια υπηρεσία οφείλει, εντός πέντε (5) τουλάχιστον ημερών πριν από την εκπνοή τους, να γνωστοποιήσει εγγράφως στον αιτούντα: α) τους λόγους της καθυστέρησης, β) τον υπάλληλο που έχει αναλάβει την υπόθεση και τον αρι</w:t>
      </w:r>
      <w:r>
        <w:rPr>
          <w:rStyle w:val="a8"/>
          <w:rFonts w:ascii="Times New Roman" w:eastAsia="Arial" w:hAnsi="Times New Roman" w:cs="Arial"/>
          <w:sz w:val="24"/>
          <w:szCs w:val="24"/>
          <w:lang w:eastAsia="el-GR"/>
        </w:rPr>
        <w:t>θμό τηλεφώνου του, για την παροχή πληροφοριών και γ) κάθε άλλη χρήσιμη πληροφορία [όπως η παράγραφος 1 αντικαταστάθηκε με τις διατάξεις του άρθρου 11 παρ. 1 του ν. 3230/2004, Φ.Ε.Κ. Α’ 44 και η παράγραφος 2 με τις διατάξεις του άρθρου 6 παρ. 1 του ν. 3242/</w:t>
      </w:r>
      <w:r>
        <w:rPr>
          <w:rStyle w:val="a8"/>
          <w:rFonts w:ascii="Times New Roman" w:eastAsia="Arial" w:hAnsi="Times New Roman" w:cs="Arial"/>
          <w:sz w:val="24"/>
          <w:szCs w:val="24"/>
          <w:lang w:eastAsia="el-GR"/>
        </w:rPr>
        <w:t xml:space="preserve">2004, Φ.Ε.Κ. Α’ </w:t>
      </w:r>
      <w:r>
        <w:rPr>
          <w:rStyle w:val="a8"/>
          <w:rFonts w:ascii="Times New Roman" w:eastAsia="Arial" w:hAnsi="Times New Roman" w:cs="Arial"/>
          <w:sz w:val="24"/>
          <w:szCs w:val="24"/>
          <w:lang w:eastAsia="el-GR"/>
        </w:rPr>
        <w:lastRenderedPageBreak/>
        <w:t xml:space="preserve">102]. …» και στο άρθρο 10 ότι: «… 5. Οι προθεσμίες για τη Διοίκηση είναι ενδεικτικές, εκτός αν από τις διατάξεις που τις προβλέπουν προκύπτει ότι είναι αποκλειστικές. …». Περαιτέρω, στο άρθρο μόνο της υπ’ αριθμ. </w:t>
      </w:r>
      <w:r>
        <w:rPr>
          <w:rStyle w:val="a8"/>
          <w:rFonts w:ascii="Times New Roman" w:eastAsia="Arial" w:hAnsi="Times New Roman" w:cs="Arial"/>
          <w:sz w:val="24"/>
          <w:szCs w:val="24"/>
        </w:rPr>
        <w:t>ΔΙΣΚΠΟ/Φ.17/29/26420/10-7-19</w:t>
      </w:r>
      <w:r>
        <w:rPr>
          <w:rStyle w:val="a8"/>
          <w:rFonts w:ascii="Times New Roman" w:eastAsia="Arial" w:hAnsi="Times New Roman" w:cs="Arial"/>
          <w:sz w:val="24"/>
          <w:szCs w:val="24"/>
        </w:rPr>
        <w:t>91 κοινής απόφασης των Υπουργών Προεδρίας της Κυβέρνησης - Υγείας Πρόνοιας και Κοινωνικών Ασφαλίσεων (Φ.Ε.Κ. Β’ 510, Διόρθωση Σφαλμάτων Φ.Ε.Κ. Β’ 382), που εκδόθηκε κατ’ εξουσιοδότηση της διάταξης του άρθρου 5 παρ. 4 του ν. 1943/1991 (Φ.Ε.Κ. Α’ 50) και αφο</w:t>
      </w:r>
      <w:r>
        <w:rPr>
          <w:rStyle w:val="a8"/>
          <w:rFonts w:ascii="Times New Roman" w:eastAsia="Arial" w:hAnsi="Times New Roman" w:cs="Arial"/>
          <w:sz w:val="24"/>
          <w:szCs w:val="24"/>
        </w:rPr>
        <w:t xml:space="preserve">ύ ελήφθη υπόψη η ανάγκη </w:t>
      </w:r>
      <w:r>
        <w:rPr>
          <w:rStyle w:val="a8"/>
          <w:rFonts w:ascii="Times New Roman" w:eastAsia="Arial" w:hAnsi="Times New Roman" w:cs="Arial"/>
          <w:sz w:val="24"/>
          <w:szCs w:val="24"/>
          <w:lang w:eastAsia="el-GR"/>
        </w:rPr>
        <w:t>εξαίρεσης της διεκπεραίωσης των υποθέσεων πολιτών στους ασφαλιστικούς οργανισμούς, αρμοδιότητας της Γενικής Γραμματείας Κοινωνικών Ασφαλίσεων, από τις προθεσμίες που προβλέπονται από τις διατάξεις των παρ. 1, 2 και 3 του άρθρου 5 το</w:t>
      </w:r>
      <w:r>
        <w:rPr>
          <w:rStyle w:val="a8"/>
          <w:rFonts w:ascii="Times New Roman" w:eastAsia="Arial" w:hAnsi="Times New Roman" w:cs="Arial"/>
          <w:sz w:val="24"/>
          <w:szCs w:val="24"/>
          <w:lang w:eastAsia="el-GR"/>
        </w:rPr>
        <w:t>υ ν. 1943/1991 λόγω της πολυπλοκότητας της διαδικασίας, της έλλειψης προσωπικού και της οργανωτικής δομής (βλ. προοίμιο της Κ.Υ.Α.), ορίζεται ότι: «Οι παρακάτω ασφαλιστικοί οργανισμοί κύριας και επικουρικής ασφάλισης, αρμοδιότητας Γενικής Γραμματείας Κοιν.</w:t>
      </w:r>
      <w:r>
        <w:rPr>
          <w:rStyle w:val="a8"/>
          <w:rFonts w:ascii="Times New Roman" w:eastAsia="Arial" w:hAnsi="Times New Roman" w:cs="Arial"/>
          <w:sz w:val="24"/>
          <w:szCs w:val="24"/>
          <w:lang w:eastAsia="el-GR"/>
        </w:rPr>
        <w:t xml:space="preserve"> Ασφαλίσεων χορηγούν σύνταξη και εφάπαξ παροχές και ενεργούν διάφορες διοικητικές πράξεις μέσα στις προθεσμίες που προβλέπονται με την απόφαση αυτή ως εξής: 1. ΙΔΡΥΜΑ ΚΟΙΝΩΝΙΚΩΝ ΑΣΦΑΛΙΣΕΩΝ (ΙΚΑ) Χρόνος διεκπεραίωσης … δ) Απονομή κύριας σύνταξης λόγω γήρατο</w:t>
      </w:r>
      <w:r>
        <w:rPr>
          <w:rStyle w:val="a8"/>
          <w:rFonts w:ascii="Times New Roman" w:eastAsia="Arial" w:hAnsi="Times New Roman" w:cs="Arial"/>
          <w:sz w:val="24"/>
          <w:szCs w:val="24"/>
          <w:lang w:eastAsia="el-GR"/>
        </w:rPr>
        <w:t>ς και λόγω θανάτου ασφαλισμένου, με χρόνο ασφάλισης μόνο στο ΙΚΑ 3 μήνες, ε) Απονομή κύριας σύνταξης λόγω γήρατος και λόγω θανάτου ασφαλισμένου με διαδοχική ασφάλιση στο ΙΚΑ και σε ένα (1) Ταμείο 5 μήνες, στ) Απονομή κύριας σύνταξης λόγω γήρατος και λόγω θ</w:t>
      </w:r>
      <w:r>
        <w:rPr>
          <w:rStyle w:val="a8"/>
          <w:rFonts w:ascii="Times New Roman" w:eastAsia="Arial" w:hAnsi="Times New Roman" w:cs="Arial"/>
          <w:sz w:val="24"/>
          <w:szCs w:val="24"/>
          <w:lang w:eastAsia="el-GR"/>
        </w:rPr>
        <w:t>ανάτου ασφαλισμένου με διαδοχική ασφάλιση στο ΙΚΑ και σε περισσότερα από ένα Ταμεία 7 μήνες …».</w:t>
      </w:r>
    </w:p>
    <w:p w14:paraId="38DA904C" w14:textId="77777777" w:rsidR="009354F0" w:rsidRDefault="00F418F8">
      <w:pPr>
        <w:pStyle w:val="a"/>
        <w:tabs>
          <w:tab w:val="left" w:pos="709"/>
        </w:tabs>
        <w:spacing w:after="0" w:line="360" w:lineRule="auto"/>
        <w:jc w:val="both"/>
      </w:pPr>
      <w:r>
        <w:rPr>
          <w:rStyle w:val="a8"/>
          <w:rFonts w:ascii="Times New Roman" w:hAnsi="Times New Roman" w:cs="Arial"/>
          <w:sz w:val="24"/>
          <w:szCs w:val="24"/>
          <w:lang w:eastAsia="el-GR"/>
        </w:rPr>
        <w:tab/>
      </w:r>
      <w:r>
        <w:rPr>
          <w:rStyle w:val="a8"/>
          <w:rFonts w:ascii="Times New Roman" w:eastAsia="Arial" w:hAnsi="Times New Roman" w:cs="Arial"/>
          <w:sz w:val="24"/>
          <w:szCs w:val="24"/>
          <w:lang w:eastAsia="el-GR"/>
        </w:rPr>
        <w:t>5. Επειδή, από το συνδυασμό των ως άνω διατάξεων, οι οποίες αποβλέπουν στην ταχεία εξυπηρέτηση των πολιτών, στη λειτουργική αποτελεσματικότητα της διοίκησης κ</w:t>
      </w:r>
      <w:r>
        <w:rPr>
          <w:rStyle w:val="a8"/>
          <w:rFonts w:ascii="Times New Roman" w:eastAsia="Arial" w:hAnsi="Times New Roman" w:cs="Arial"/>
          <w:sz w:val="24"/>
          <w:szCs w:val="24"/>
          <w:lang w:eastAsia="el-GR"/>
        </w:rPr>
        <w:t>αι την ποιοτική αναβάθμιση των παρεχομένων προς τον πολίτη υπηρεσιών (βλ. προοίμιο εισηγητικής έκθεσης του ν. 2690/1999), ειδικότερα δε στη δραστηριοποίηση των διοικητικών υπηρεσιών για την ταχεία και αποτελεσματική εξυπηρέτηση των πολιτών (βλ. ΣτΕ 92/2016</w:t>
      </w:r>
      <w:r>
        <w:rPr>
          <w:rStyle w:val="a8"/>
          <w:rFonts w:ascii="Times New Roman" w:eastAsia="Arial" w:hAnsi="Times New Roman" w:cs="Arial"/>
          <w:sz w:val="24"/>
          <w:szCs w:val="24"/>
          <w:lang w:eastAsia="el-GR"/>
        </w:rPr>
        <w:t>, 2826/2014), συνάγεται ότι και μετά την έναρξη ισχύος του Κώδικα Διοικητικής Διαδικασίας, εξακολουθούν να ισχύουν οι ειδικές διατάξεις της Κ.Υ.Α. ΔΙΣΚΠΟ/Φ17/29/26420/10-7-1991, οι οποίες ορίζουν διαφορετικές προθεσμίες για τη διεκπεραίωση των υποθέσεων απ</w:t>
      </w:r>
      <w:r>
        <w:rPr>
          <w:rStyle w:val="a8"/>
          <w:rFonts w:ascii="Times New Roman" w:eastAsia="Arial" w:hAnsi="Times New Roman" w:cs="Arial"/>
          <w:sz w:val="24"/>
          <w:szCs w:val="24"/>
          <w:lang w:eastAsia="el-GR"/>
        </w:rPr>
        <w:t>ό ασφαλιστικούς οργανισμούς κύριας και επικουρικής ασφάλισης αρμοδιότητας της Γενικής Γραμματείας Κοινωνικών Ασφαλίσεων. Οι ως άνω προθεσμίες, εξάλλου, είναι ενδεικτικές, σύμφωνα με το άρθρο 10 παρ. 5 του Κώδικα Διοικητικής Διαδικασίας, διότι δεν χαρακτηρί</w:t>
      </w:r>
      <w:r>
        <w:rPr>
          <w:rStyle w:val="a8"/>
          <w:rFonts w:ascii="Times New Roman" w:eastAsia="Arial" w:hAnsi="Times New Roman" w:cs="Arial"/>
          <w:sz w:val="24"/>
          <w:szCs w:val="24"/>
          <w:lang w:eastAsia="el-GR"/>
        </w:rPr>
        <w:t xml:space="preserve">ζονται ρητά από τον </w:t>
      </w:r>
      <w:r>
        <w:rPr>
          <w:rStyle w:val="a8"/>
          <w:rFonts w:ascii="Times New Roman" w:eastAsia="Arial" w:hAnsi="Times New Roman" w:cs="Arial"/>
          <w:sz w:val="24"/>
          <w:szCs w:val="24"/>
          <w:lang w:eastAsia="el-GR"/>
        </w:rPr>
        <w:lastRenderedPageBreak/>
        <w:t>νόμο ως αποκλειστικές, ούτε προκύπτει από τις σχετικές διατάξεις διαφορετική βούληση του νομοθέτη, με την έννοια ότι περιέχουν έντονη υπόδειξη προς τα αρμόδια προς τούτο όργανα του Ταμείου να ολοκληρώσουν τη διαδικασία και να χορηγήσουν</w:t>
      </w:r>
      <w:r>
        <w:rPr>
          <w:rStyle w:val="a8"/>
          <w:rFonts w:ascii="Times New Roman" w:eastAsia="Arial" w:hAnsi="Times New Roman" w:cs="Arial"/>
          <w:sz w:val="24"/>
          <w:szCs w:val="24"/>
          <w:lang w:eastAsia="el-GR"/>
        </w:rPr>
        <w:t xml:space="preserve"> την παροχή, μέσα σε σύντομο και, πάντως, εύλογο χρόνο. Κατεξοχήν, δε, κριτήριο προσδιορισμού του εύλογου αυτού χρόνου είναι η τυχόν προκύπτουσα ανάγκη εκκαθάρισης των πραγματικών περιστατικών της εκάστοτε κρινόμενης υπόθεσης (πρβλ. ΣτΕ 505/2016, 3618/2015</w:t>
      </w:r>
      <w:r>
        <w:rPr>
          <w:rStyle w:val="a8"/>
          <w:rFonts w:ascii="Times New Roman" w:eastAsia="Arial" w:hAnsi="Times New Roman" w:cs="Arial"/>
          <w:sz w:val="24"/>
          <w:szCs w:val="24"/>
          <w:lang w:eastAsia="el-GR"/>
        </w:rPr>
        <w:t xml:space="preserve"> κ.ά.). Η κατά τα ανωτέρω υπέρβαση των προβλεπόμενων προθεσμιών, εντός των οποίων η αρμόδια ή οι συναρμόδιες υπηρεσίες του Δημοσίου ή των ν.π.δ.δ. οφείλουν να αποφανθούν επί υποβαλλόμενου αιτήματος, στοιχειοθετεί ευθύνη του Δημοσίου ή του ν.π.δ.δ. προς απο</w:t>
      </w:r>
      <w:r>
        <w:rPr>
          <w:rStyle w:val="a8"/>
          <w:rFonts w:ascii="Times New Roman" w:eastAsia="Arial" w:hAnsi="Times New Roman" w:cs="Arial"/>
          <w:sz w:val="24"/>
          <w:szCs w:val="24"/>
          <w:lang w:eastAsia="el-GR"/>
        </w:rPr>
        <w:t>ζημίωση, κατά τα άρθρα 105 και 106 του Εισ.Ν.Α.Κ., αν συντρέχουν και οι λοιπές κατά τα άρθρα αυτό προϋποθέσεις, ήτοι η επέλευση ζημίας και ο αιτιώδης σύνδεσμος μεταξύ της κατά τα ως άνω παράνομης πράξης ή παράλειψης ή υλικής ενέργειας ή παράλειψης υλικής ε</w:t>
      </w:r>
      <w:r>
        <w:rPr>
          <w:rStyle w:val="a8"/>
          <w:rFonts w:ascii="Times New Roman" w:eastAsia="Arial" w:hAnsi="Times New Roman" w:cs="Arial"/>
          <w:sz w:val="24"/>
          <w:szCs w:val="24"/>
          <w:lang w:eastAsia="el-GR"/>
        </w:rPr>
        <w:t>νέργειας και της επελθούσας ζημίας. Ειδικώς, επί παράνομης κατά τα ως άνω καθυστέρησης διεκπεραίωσης αιτήματος ασφαλισμένου προς τον ασφαλιστικό οργανισμό, στον οποίο υπάγεται, δύναται να στοιχειοθετηθεί αστική ευθύνη του οικείου ασφαλιστικού οργανισμού, ε</w:t>
      </w:r>
      <w:r>
        <w:rPr>
          <w:rStyle w:val="a8"/>
          <w:rFonts w:ascii="Times New Roman" w:eastAsia="Arial" w:hAnsi="Times New Roman" w:cs="Arial"/>
          <w:sz w:val="24"/>
          <w:szCs w:val="24"/>
          <w:lang w:eastAsia="el-GR"/>
        </w:rPr>
        <w:t>φόσον η καθυστέρηση αυτή συνδέεται αιτιωδώς με τη ζημία που υπέστη ο ασφαλισμένος. Τέτοιος δε αιτιώδης σύνδεσμος δεν δύναται να υπάρξει όταν η φερόμενη ως ζημιογόνος πράξη ή παράλειψη ή υλική ενέργεια δεν ήταν εξ αντικειμένου, ήτοι γενικώς και αφηρημένως λ</w:t>
      </w:r>
      <w:r>
        <w:rPr>
          <w:rStyle w:val="a8"/>
          <w:rFonts w:ascii="Times New Roman" w:eastAsia="Arial" w:hAnsi="Times New Roman" w:cs="Arial"/>
          <w:sz w:val="24"/>
          <w:szCs w:val="24"/>
          <w:lang w:eastAsia="el-GR"/>
        </w:rPr>
        <w:t>αμβανόμενη, ικανή και πρόσφορη να επιφέρει τη ζημία (πρβλ. ΣτΕ 1376/2018).</w:t>
      </w:r>
    </w:p>
    <w:p w14:paraId="33DE88A7" w14:textId="77777777" w:rsidR="009354F0" w:rsidRDefault="00F418F8">
      <w:pPr>
        <w:pStyle w:val="a"/>
        <w:tabs>
          <w:tab w:val="left" w:pos="709"/>
        </w:tabs>
        <w:spacing w:after="0" w:line="360" w:lineRule="auto"/>
        <w:ind w:firstLine="709"/>
        <w:jc w:val="both"/>
        <w:rPr>
          <w:rFonts w:ascii="Times New Roman" w:eastAsia="Arial" w:hAnsi="Times New Roman" w:cs="Arial"/>
          <w:sz w:val="24"/>
          <w:szCs w:val="24"/>
        </w:rPr>
      </w:pPr>
      <w:r>
        <w:rPr>
          <w:rFonts w:ascii="Times New Roman" w:eastAsia="Arial" w:hAnsi="Times New Roman" w:cs="Arial"/>
          <w:sz w:val="24"/>
          <w:szCs w:val="24"/>
        </w:rPr>
        <w:t>6. Επειδή, στο άρθρο 40 του α.ν. 1846/1951 (Φ.Ε.Κ. Α’ 179), προβλέπεται ότι: «… 6. Πάσαι αι αξιώσεις εκ παροχών εις χρήμα της ασφαλίσεως ασθενείας παραγράφονται μετά εξ μήνας εφ’ ης</w:t>
      </w:r>
      <w:r>
        <w:rPr>
          <w:rFonts w:ascii="Times New Roman" w:eastAsia="Arial" w:hAnsi="Times New Roman" w:cs="Arial"/>
          <w:sz w:val="24"/>
          <w:szCs w:val="24"/>
        </w:rPr>
        <w:t xml:space="preserve"> κατέστησαν απαιτηταί. Απαιτηταί δόσεις συντάξεων μη εισπραχθείσαι δι’ οιονδήποτε λόγον εντός έτους παραγράφονται. Η ετησία παραγραφή άρχεται από του τέλους της μηνός ον αφορά η υπό πληρωμήν σύνταξις. … Πάσα άλλη οιαδήποτε κατά του ΙΚΑ απαίτησις παραγράφετ</w:t>
      </w:r>
      <w:r>
        <w:rPr>
          <w:rFonts w:ascii="Times New Roman" w:eastAsia="Arial" w:hAnsi="Times New Roman" w:cs="Arial"/>
          <w:sz w:val="24"/>
          <w:szCs w:val="24"/>
        </w:rPr>
        <w:t>αι μετά πενταετίαν … [όπως η παράγραφος αυτή αντικαταστάθηκε με τις διατάξεις των άρθρων 15 παρ. 2 του ν.δ. 4476/1965, Φ.Ε.Κ. Α’ 103 και 7 του ν. 825/1978] …». Περαιτέρω, κατά το άρθρο 251 του Αστικού Κώδικα (π.δ. 456/1984, Φ.Ε.Κ. Α’ 164), εφόσον δεν ορίζε</w:t>
      </w:r>
      <w:r>
        <w:rPr>
          <w:rFonts w:ascii="Times New Roman" w:eastAsia="Arial" w:hAnsi="Times New Roman" w:cs="Arial"/>
          <w:sz w:val="24"/>
          <w:szCs w:val="24"/>
        </w:rPr>
        <w:t>ται διαφορετικά, η παραγραφή αρχίζει από τότε που γεννήθηκε η αξίωση και είναι δυνατή η δικαστική επιδίωξή της. Από τις παραπάνω διατάξεις συνάγεται ότι, προκειμένου περί απαιτήσεων κατά του Ι.Κ.Α. που απορρέουν από αδικοπραξία ή αδικαιολόγητο πλουτισμό, ε</w:t>
      </w:r>
      <w:r>
        <w:rPr>
          <w:rFonts w:ascii="Times New Roman" w:eastAsia="Arial" w:hAnsi="Times New Roman" w:cs="Arial"/>
          <w:sz w:val="24"/>
          <w:szCs w:val="24"/>
        </w:rPr>
        <w:t xml:space="preserve">φόσον ο νόμος δεν διακρίνει, έχουν εφαρμογή και στην </w:t>
      </w:r>
      <w:r>
        <w:rPr>
          <w:rFonts w:ascii="Times New Roman" w:eastAsia="Arial" w:hAnsi="Times New Roman" w:cs="Arial"/>
          <w:sz w:val="24"/>
          <w:szCs w:val="24"/>
        </w:rPr>
        <w:lastRenderedPageBreak/>
        <w:t>περίπτωση αυτή οι ειδικές περί παραγραφής διατάξεις του άρθρου 40 παρ. 6 του α.ν. 1846/1951, σύμφωνα με τις οποίες οι εν γένει απαιτήσεις κατά του Ι.Κ.Α. υπόκεινται στην πενταετή παραγραφή (πρβλ. ΣτΕ 295</w:t>
      </w:r>
      <w:r>
        <w:rPr>
          <w:rFonts w:ascii="Times New Roman" w:eastAsia="Arial" w:hAnsi="Times New Roman" w:cs="Arial"/>
          <w:sz w:val="24"/>
          <w:szCs w:val="24"/>
        </w:rPr>
        <w:t>/2011, 1327/2009, ΔΕφΑθ 3002/2020, 370/2020). Εξάλλου το Ι.Κ.Α. εξαιρείται από την εφαρμογή των διατάξεων που διέπουν τις αξιώσεις κατά των λοιπών ν.π.δ.δ. (άρθρο 48 παρ. 5 του ν.δ. 496/1974 «Περί Λογιστικού των Νομικών Προσώπων Δημοσίου Δικαίου», Φ.Ε.Κ. Α</w:t>
      </w:r>
      <w:r>
        <w:rPr>
          <w:rFonts w:ascii="Times New Roman" w:eastAsia="Arial" w:hAnsi="Times New Roman" w:cs="Arial"/>
          <w:sz w:val="24"/>
          <w:szCs w:val="24"/>
        </w:rPr>
        <w:t>’ 204), καθώς με το άρθρο μόνο του π.δ. 437/1977 (Φ.Ε.Κ. Α’ 134), το οποίο εκδόθηκε κατ’ εξουσιοδότηση της παραγράφου 2 του άρθρου 56 του ν.δ. 496/1974 (όπως η παράγραφος αυτή αντικαταστάθηκε με το άρθρο 15 του ν. 396/1976, Φ.Ε.Κ. Α’ 164 και το άρθρο 2 του</w:t>
      </w:r>
      <w:r>
        <w:rPr>
          <w:rFonts w:ascii="Times New Roman" w:eastAsia="Arial" w:hAnsi="Times New Roman" w:cs="Arial"/>
          <w:sz w:val="24"/>
          <w:szCs w:val="24"/>
        </w:rPr>
        <w:t xml:space="preserve"> ν. 578/1977, Φ.Ε.Κ. Α’ 106), το νομοθετικό διάταγμα περί λογιστικού των ν.π.δ.δ. δεν εφαρμόζεται στους ασφαλιστικούς οργανισμούς που τελούσαν εξαρχής υπό την εποπτεία του Υπουργείου Κοινωνικών Υπηρεσιών (βλ. ΣτΕ 28/2012, 295/2011, 1327/2009). Περαιτέρω, σ</w:t>
      </w:r>
      <w:r>
        <w:rPr>
          <w:rFonts w:ascii="Times New Roman" w:eastAsia="Arial" w:hAnsi="Times New Roman" w:cs="Arial"/>
          <w:sz w:val="24"/>
          <w:szCs w:val="24"/>
        </w:rPr>
        <w:t>τον Κώδικα Διοικητικής Δικονομίας (Κ.Δ.Δ.), που κυρώθηκε με το άρθρο πρώτο του ν. 2717/1999 (Φ.Ε.Κ. Α’ 97), ορίζεται στο άρθρο 75 ότι: «1. Η εκκρεμοδικία αρχίζει με την κατάθεση της αγωγής και λήγει με τη δημοσίευση της οριστικής απόφασης ή την κατάργηση τ</w:t>
      </w:r>
      <w:r>
        <w:rPr>
          <w:rFonts w:ascii="Times New Roman" w:eastAsia="Arial" w:hAnsi="Times New Roman" w:cs="Arial"/>
          <w:sz w:val="24"/>
          <w:szCs w:val="24"/>
        </w:rPr>
        <w:t>ης δίκης. 2. Τα κατά το ουσιαστικό δίκαιο έννομα αποτελέσματα της άσκησης της αγωγής επέρχονται, ως προς τον εναγόμενο, από την επίδοση της σε αυτόν από τον ενάγοντα. Η παραγραφή, η οποία σύμφωνα με το προηγούμενο εδάφιο διακόπηκε, αρχίζει πάλι μόνο από τη</w:t>
      </w:r>
      <w:r>
        <w:rPr>
          <w:rFonts w:ascii="Times New Roman" w:eastAsia="Arial" w:hAnsi="Times New Roman" w:cs="Arial"/>
          <w:sz w:val="24"/>
          <w:szCs w:val="24"/>
        </w:rPr>
        <w:t>ν τελεσιδικία της απόφασης ή την κατάργηση της δίκης [όπως η παράγραφος 2 αντικαταστάθηκε με τη διάταξη του άρθρου 19 του ν. 3900/2010, Φ.Ε.Κ. Α’ 213] ...». Από τις παραπάνω διατάξεις συνάγεται ότι προκειμένου να επέλθει διακοπή της παραγραφής, δεν αρκεί μ</w:t>
      </w:r>
      <w:r>
        <w:rPr>
          <w:rFonts w:ascii="Times New Roman" w:eastAsia="Arial" w:hAnsi="Times New Roman" w:cs="Arial"/>
          <w:sz w:val="24"/>
          <w:szCs w:val="24"/>
        </w:rPr>
        <w:t>όνο η κατάθεση της αγωγής, αλλά η διακοπή αυτή εκκινεί από την επίδοση της αγωγής στον εναγόμενο (βλ. ΔΕφΑθ 3725/2019, 1038/2019, 4864/2017), η οποία (επίδοση) ορίσθηκε ως το γενεσιουργό γεγονός, από το οποίο επέρχονται όλα τα κατά το ουσιαστικό δίκαιο ένν</w:t>
      </w:r>
      <w:r>
        <w:rPr>
          <w:rFonts w:ascii="Times New Roman" w:eastAsia="Arial" w:hAnsi="Times New Roman" w:cs="Arial"/>
          <w:sz w:val="24"/>
          <w:szCs w:val="24"/>
        </w:rPr>
        <w:t>ομα αποτελέσματα της άσκησης της αγωγής (βλ. σχετικώς και την αιτιολογική έκθεση επί του άρθρου 19 του ν. 3900/2010).</w:t>
      </w:r>
    </w:p>
    <w:p w14:paraId="7B2D4EB9"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 xml:space="preserve">7. Επειδή, στην προκείμενη περίπτωση, από τα στοιχεία του φακέλου της δικογραφίας, που τέθηκαν υπόψη του Δικαστηρίου, προκύπτουν τα εξής: </w:t>
      </w:r>
      <w:r>
        <w:rPr>
          <w:rStyle w:val="a8"/>
          <w:rFonts w:ascii="Times New Roman" w:eastAsia="Arial" w:hAnsi="Times New Roman" w:cs="Arial"/>
          <w:sz w:val="24"/>
          <w:szCs w:val="24"/>
          <w:lang w:eastAsia="el-GR"/>
        </w:rPr>
        <w:t>Με την υπ’ αριθμ. 15331/8-4-2011 (υπ’ αριθμ. πρωτ. 146700/2010) συνταξιοδοτική πράξη του Διευθυντή της 42ης Διεύθυνσης, της Γενικής Διεύθυνσης Συντάξεων, του Γενικού Λογιστηρίου του Κράτους (Γ.Λ.Κ.) κανονίσθηκε υπέρ της ενάγουσας, με συνολική συντάξιμη υπη</w:t>
      </w:r>
      <w:r>
        <w:rPr>
          <w:rStyle w:val="a8"/>
          <w:rFonts w:ascii="Times New Roman" w:eastAsia="Arial" w:hAnsi="Times New Roman" w:cs="Arial"/>
          <w:sz w:val="24"/>
          <w:szCs w:val="24"/>
          <w:lang w:eastAsia="el-GR"/>
        </w:rPr>
        <w:t xml:space="preserve">ρεσία 17 ετών και 26 ημερών, σύνταξη λόγω γήρατος, ποσού 588,38 ευρώ </w:t>
      </w:r>
      <w:r>
        <w:rPr>
          <w:rStyle w:val="a8"/>
          <w:rFonts w:ascii="Times New Roman" w:eastAsia="Arial" w:hAnsi="Times New Roman" w:cs="Arial"/>
          <w:sz w:val="24"/>
          <w:szCs w:val="24"/>
          <w:lang w:eastAsia="el-GR"/>
        </w:rPr>
        <w:lastRenderedPageBreak/>
        <w:t>από 9-10-2010, πληρωτέα από το Ελληνικό Δημόσιο. Στην απόφαση αυτή αναφέρεται ρητώς ότι ο χρόνος ασφάλισης της ανωτέρω στο Ι.Κ.Α. θα υπολογισθεί μετά την ολοκλήρωση της διαδικασίας του ν.</w:t>
      </w:r>
      <w:r>
        <w:rPr>
          <w:rStyle w:val="a8"/>
          <w:rFonts w:ascii="Times New Roman" w:eastAsia="Arial" w:hAnsi="Times New Roman" w:cs="Arial"/>
          <w:sz w:val="24"/>
          <w:szCs w:val="24"/>
          <w:lang w:eastAsia="el-GR"/>
        </w:rPr>
        <w:t>δ. 4202/1961. Παράλληλα, με το υπ’ αριθμ. πρωτ. 146700/8-4-2011 έγγραφο του Διευθυντή της ιδίας υπηρεσίας του Γ.Λ.Κ. ζητήθηκαν από το εναγόμενο στοιχεία διαδοχικής ασφάλισης της εν λόγω κοινής ασφαλισμένης τους. Το έγγραφο αυτό προσκόμισε η ενάγουσα στο Ι.</w:t>
      </w:r>
      <w:r>
        <w:rPr>
          <w:rStyle w:val="a8"/>
          <w:rFonts w:ascii="Times New Roman" w:eastAsia="Arial" w:hAnsi="Times New Roman" w:cs="Arial"/>
          <w:sz w:val="24"/>
          <w:szCs w:val="24"/>
          <w:lang w:eastAsia="el-GR"/>
        </w:rPr>
        <w:t>Κ.Α.-Ε.Τ.Α.Μ. (υπ’ αριθμ. πρωτ. παρ. 9523/19-5-2011).</w:t>
      </w:r>
    </w:p>
    <w:p w14:paraId="14320A2B"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 xml:space="preserve">Το ανωτέρω έγγραφο του Γ.Λ.Κ., μαζί με τα ασφαλιστικά στοιχεία της ενάγουσας (αντίγραφο Πινακίδας Ανακεφαλαίωσης Ημερών Εργασίας, 17 Δελτία Ασφαλιστικής Ταυτότητας και Εισφορών, </w:t>
      </w:r>
      <w:r>
        <w:rPr>
          <w:rStyle w:val="a8"/>
          <w:rFonts w:ascii="Times New Roman" w:eastAsia="Arial" w:hAnsi="Times New Roman" w:cs="Arial"/>
          <w:i/>
          <w:iCs/>
          <w:sz w:val="24"/>
          <w:szCs w:val="24"/>
          <w:lang w:eastAsia="el-GR"/>
        </w:rPr>
        <w:t>2</w:t>
      </w:r>
      <w:r>
        <w:rPr>
          <w:rStyle w:val="a8"/>
          <w:rFonts w:ascii="Times New Roman" w:eastAsia="Arial" w:hAnsi="Times New Roman" w:cs="Arial"/>
          <w:sz w:val="24"/>
          <w:szCs w:val="24"/>
          <w:lang w:eastAsia="el-GR"/>
        </w:rPr>
        <w:t xml:space="preserve"> αποφάσεις </w:t>
      </w:r>
      <w:r>
        <w:rPr>
          <w:rStyle w:val="a8"/>
          <w:rFonts w:ascii="Times New Roman" w:eastAsia="Arial" w:hAnsi="Times New Roman" w:cs="Arial"/>
          <w:sz w:val="24"/>
          <w:szCs w:val="24"/>
          <w:lang w:eastAsia="el-GR"/>
        </w:rPr>
        <w:t>Ι.Κ.Α.) διαβιβάστηκαν με το υπ’ αριθμ. πρωτ. 9523/7-8-2012 έγγραφο του Διευθυντή Μητρώου, του Περιφερειακού Υποκαταστήματος Αθηνών του Ι.Κ.Α.-Ε.Τ.Α.Μ., προς το Περιφερειακό Υποκατάστημα Ι.Κ.Α.-Ε.Τ.Α.Μ. Συντάξεων, προκειμένου να υπολογισθεί ο χρόνος ασφάλισ</w:t>
      </w:r>
      <w:r>
        <w:rPr>
          <w:rStyle w:val="a8"/>
          <w:rFonts w:ascii="Times New Roman" w:eastAsia="Arial" w:hAnsi="Times New Roman" w:cs="Arial"/>
          <w:sz w:val="24"/>
          <w:szCs w:val="24"/>
          <w:lang w:eastAsia="el-GR"/>
        </w:rPr>
        <w:t>ης αυτής στο Ταμείο.</w:t>
      </w:r>
    </w:p>
    <w:p w14:paraId="5EBCC9F1"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Ο παραπάνω φάκελος απεστάλη, λόγω αρμοδιότητας, με το υπ’ αριθμ. πρωτ. 160109/1-10-2012 έγγραφο της Προϊσταμένης του Περιφερειακού Υποκαταστήματος Συντάξεων του Ι.Κ.Α.-Ε.Τ.Α.Μ. προς το Τοπικό Υποκατάστημα (Τ.Υ.) Ι.Κ.Α.-Ε.Τ.Α.Μ. Πατησί</w:t>
      </w:r>
      <w:r>
        <w:rPr>
          <w:rStyle w:val="a8"/>
          <w:rFonts w:ascii="Times New Roman" w:eastAsia="Arial" w:hAnsi="Times New Roman" w:cs="Arial"/>
          <w:sz w:val="24"/>
          <w:szCs w:val="24"/>
          <w:lang w:eastAsia="el-GR"/>
        </w:rPr>
        <w:t>ων.</w:t>
      </w:r>
    </w:p>
    <w:p w14:paraId="0B9C16D8"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Επίσης, η ενάγουσα κατέθεσε στο ως άνω Υποκατάστημα του εναγόμενου υποφάκελο στοιχείων (υπ' αριθμ. πρωτ. αποδ. παρ. 040-2012-18107/9-10-2012).</w:t>
      </w:r>
    </w:p>
    <w:p w14:paraId="7E250C58"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Ακολούθως, η Προϊσταμένη του Τμήματος Ανακ/σης Συντάξεων του Τ.Υ. Ι.Κ.Α.-Ε.Τ.Α.Μ. Πατησίων εξέδωσε τα υπ’ α</w:t>
      </w:r>
      <w:r>
        <w:rPr>
          <w:rStyle w:val="a8"/>
          <w:rFonts w:ascii="Times New Roman" w:eastAsia="Arial" w:hAnsi="Times New Roman" w:cs="Arial"/>
          <w:sz w:val="24"/>
          <w:szCs w:val="24"/>
          <w:lang w:eastAsia="el-GR"/>
        </w:rPr>
        <w:t>ριθμ. πρωτ. 2442/6-2-2013, 2448/6-2-2013 και 2444/6-2-2013 έγγραφά της, με τα οποία ζητούσε, αναφορικά με την παραπάνω ασφαλισμένη, από τα Υποκαταστήματα του Ι.Κ.Α.-Ε.Τ.Α.Μ. Πατησίων (για το χρονικό διάστημα από 1-10-1983 έως 30-9-1993), Πλ. Συντάγματος (γ</w:t>
      </w:r>
      <w:r>
        <w:rPr>
          <w:rStyle w:val="a8"/>
          <w:rFonts w:ascii="Times New Roman" w:eastAsia="Arial" w:hAnsi="Times New Roman" w:cs="Arial"/>
          <w:sz w:val="24"/>
          <w:szCs w:val="24"/>
          <w:lang w:eastAsia="el-GR"/>
        </w:rPr>
        <w:t>ια το χρονικό διάστημα από 1-7-1973 έως 31-10-1974) και Νίκαιας (για το χρονικό διάστημα από 3ο/1986 έως 9ο/1993) τον καθορισμό των ημερών εργασίας αυτής. Σχετικώς, εκδόθηκαν: α) το υπ’ αριθμ. πρωτ. 2247/18-2-2013 έγγραφο του Προϊσταμένου Εσόδων του Τ.Υ. Ι</w:t>
      </w:r>
      <w:r>
        <w:rPr>
          <w:rStyle w:val="a8"/>
          <w:rFonts w:ascii="Times New Roman" w:eastAsia="Arial" w:hAnsi="Times New Roman" w:cs="Arial"/>
          <w:sz w:val="24"/>
          <w:szCs w:val="24"/>
          <w:lang w:eastAsia="el-GR"/>
        </w:rPr>
        <w:t>.Κ.Α.-Ε.Τ.Α.Μ. Νίκαιας, στο οποίο αναφέρονται με ανάλυση, κατά μήνα, οι ημέρες ασφάλισης που πραγματοποίησε η ενάγουσα, κατά τη χρονική περίοδο από 3ο/1986 έως 9ο/1993 και β) το υπ’ αριθμ. πρωτ. 1995/25-2-2013 έγγραφο της Διευθύντριας του Τ.Υ. Ι.Κ.Α.-Ε.Τ.Α</w:t>
      </w:r>
      <w:r>
        <w:rPr>
          <w:rStyle w:val="a8"/>
          <w:rFonts w:ascii="Times New Roman" w:eastAsia="Arial" w:hAnsi="Times New Roman" w:cs="Arial"/>
          <w:sz w:val="24"/>
          <w:szCs w:val="24"/>
          <w:lang w:eastAsia="el-GR"/>
        </w:rPr>
        <w:t>.Μ. Πλ. Συντάγματος, με το οποίο γνωστοποιούνται οι ημέρες ασφάλισης αυτής, κατά τη χρονική περίοδο από 1-7-1973 μέχρι 31-10-1974.</w:t>
      </w:r>
    </w:p>
    <w:p w14:paraId="6E578ECB"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lastRenderedPageBreak/>
        <w:t xml:space="preserve">Περαιτέρω, κατόπιν σχετικών ελέγχων που διενεργήθηκαν, εκδόθηκαν οι κάτωθι αποφάσεις του Διευθυντή του Τ.Υ. Ι.Κ.Α.-Ε.Τ.Α.Μ. </w:t>
      </w:r>
      <w:r>
        <w:rPr>
          <w:rStyle w:val="a8"/>
          <w:rFonts w:ascii="Times New Roman" w:eastAsia="Arial" w:hAnsi="Times New Roman" w:cs="Arial"/>
          <w:sz w:val="24"/>
          <w:szCs w:val="24"/>
          <w:lang w:eastAsia="el-GR"/>
        </w:rPr>
        <w:t>Πατησίων: α) υπ’ αριθμ. πρωτ. Α-38/10-2-2014, με την οποία καθορίσθηκαν υπέρ της ασφαλισμένης 358 ημέρες ασφάλισης χρονικής περιόδου από 10ο/1984 έως 5ο/1986 και ακυρώθηκαν 39 ημέρες ασφάλισης χρονικής περιόδου από 12ο/1984 έως 5ο/1986 και β) υπ’ αριθμ. πρ</w:t>
      </w:r>
      <w:r>
        <w:rPr>
          <w:rStyle w:val="a8"/>
          <w:rFonts w:ascii="Times New Roman" w:eastAsia="Arial" w:hAnsi="Times New Roman" w:cs="Arial"/>
          <w:sz w:val="24"/>
          <w:szCs w:val="24"/>
          <w:lang w:eastAsia="el-GR"/>
        </w:rPr>
        <w:t>ωτ. Α-69/24-2-2014, με την οποία καθορίσθηκαν υπέρ αυτής 1.080 ημέρες ασφάλισης χρονικής περιόδου από 1-10-1983 έως 31-5-1993 και ακυρώθηκαν 380 ημέρες ασφάλισης ιδίας χρονικής περιόδου. Κατόπιν των ανωτέρω, εκδόθηκε, αρχικά, η υπ’ αριθμ. πρωτ. 4047/14-10-</w:t>
      </w:r>
      <w:r>
        <w:rPr>
          <w:rStyle w:val="a8"/>
          <w:rFonts w:ascii="Times New Roman" w:eastAsia="Arial" w:hAnsi="Times New Roman" w:cs="Arial"/>
          <w:sz w:val="24"/>
          <w:szCs w:val="24"/>
          <w:lang w:eastAsia="el-GR"/>
        </w:rPr>
        <w:t>2014 απόφαση του Διευθυντή του Τ.Υ. Ι.Κ.Α.-Ε.Τ.Α.Μ. Πατησίων, με την οποία, κατ’ εφαρμογή των διατάξεων του άρθρου 10 του ν.δ. 4202/1961, βεβαιώθηκε ότι η ενάγουσα υπήρξε ασφαλισμένη στο Ι.Κ.Α.-Ε.Τ.Α.Μ. από τον 7ο/1973 έως τον 9ο/1993, έχοντας πραγματοποιή</w:t>
      </w:r>
      <w:r>
        <w:rPr>
          <w:rStyle w:val="a8"/>
          <w:rFonts w:ascii="Times New Roman" w:eastAsia="Arial" w:hAnsi="Times New Roman" w:cs="Arial"/>
          <w:sz w:val="24"/>
          <w:szCs w:val="24"/>
          <w:lang w:eastAsia="el-GR"/>
        </w:rPr>
        <w:t>σει συνολικά 3.265 ημερομίσθια.</w:t>
      </w:r>
    </w:p>
    <w:p w14:paraId="300DE148"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Ωστόσο, με το υπ’ αριθμ. πρωτ. 155547/16-12-2014 έγγραφο του Διευθυντή της 42ης Διεύθυνσης, της Γενικής Διεύθυνσης Μισθών και Συντάξεων, του Γ.Λ.Κ. κλήθηκε το ως άνω Υποκατάστημα του εναγόμενου να προβεί στη διόρθωση της πρ</w:t>
      </w:r>
      <w:r>
        <w:rPr>
          <w:rStyle w:val="a8"/>
          <w:rFonts w:ascii="Times New Roman" w:eastAsia="Arial" w:hAnsi="Times New Roman" w:cs="Arial"/>
          <w:sz w:val="24"/>
          <w:szCs w:val="24"/>
          <w:lang w:eastAsia="el-GR"/>
        </w:rPr>
        <w:t>οαναφερθείσας απόφασής του, καθόσον, όπως αναφέρεται σε αυτό, στην περίπτωση της ενάγουσας τυγχάνουν εφαρμογής οι διατάξεις του άρθρου 11 του ν.δ. 4202/1961. Έπειτα, με το υπ’ αριθμ. πρωτ. 5827/1-4-2015 έγγραφο της Προϊσταμένης του Τμήματος Απονομών Β’ του</w:t>
      </w:r>
      <w:r>
        <w:rPr>
          <w:rStyle w:val="a8"/>
          <w:rFonts w:ascii="Times New Roman" w:eastAsia="Arial" w:hAnsi="Times New Roman" w:cs="Arial"/>
          <w:sz w:val="24"/>
          <w:szCs w:val="24"/>
          <w:lang w:eastAsia="el-GR"/>
        </w:rPr>
        <w:t xml:space="preserve"> Ι.Κ.Α.-Ε.Τ.Α.Μ. Πατησίων ζητήθηκε από το Υποκατάστημα Νίκαιας του ιδίου Ταμείου, ανάλυση αποδοχών και ημερών, κατά μήνα και κατά έτος, για τα έτη 1991 και 1993, σε απάντηση δε αυτού εκδόθηκε το υπ’ αριθμ. πρωτ. 4482/9-4-2015 έγγραφο του Προϊσταμένου Διεύθ</w:t>
      </w:r>
      <w:r>
        <w:rPr>
          <w:rStyle w:val="a8"/>
          <w:rFonts w:ascii="Times New Roman" w:eastAsia="Arial" w:hAnsi="Times New Roman" w:cs="Arial"/>
          <w:sz w:val="24"/>
          <w:szCs w:val="24"/>
          <w:lang w:eastAsia="el-GR"/>
        </w:rPr>
        <w:t>υνσης, του Τμήματος Εσόδων, του εν λόγω υποκαταστήματος του εναγόμενου, στο οποίο περιλαμβάνονται τα οικεία στοιχεία. Στη συνέχεια, με την υπ’ αριθμ. πρωτ. 1960/28-5-2015 απόφαση του Διευθυντή του Τ.Υ. Ι.Κ.Α.-Ε.Τ.Α.Μ. Πατησίων, που εκδόθηκε κατ’ εφαρμογή τ</w:t>
      </w:r>
      <w:r>
        <w:rPr>
          <w:rStyle w:val="a8"/>
          <w:rFonts w:ascii="Times New Roman" w:eastAsia="Arial" w:hAnsi="Times New Roman" w:cs="Arial"/>
          <w:sz w:val="24"/>
          <w:szCs w:val="24"/>
          <w:lang w:eastAsia="el-GR"/>
        </w:rPr>
        <w:t>ων διατάξεων του άρθρου 11 του ν.δ. 4202/1961, βεβαιώθηκε ότι ο χρόνος ασφάλισης αυτής στο εν λόγω Ταμείο ανέρχονταν σε 3.265 ημέρες από τον 7ο/1973 έως τον 9ο/1993.</w:t>
      </w:r>
    </w:p>
    <w:p w14:paraId="1F88516A"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 xml:space="preserve">8. </w:t>
      </w:r>
      <w:r>
        <w:rPr>
          <w:rStyle w:val="a8"/>
          <w:rFonts w:ascii="Times New Roman" w:eastAsia="Arial" w:hAnsi="Times New Roman" w:cs="Arial"/>
          <w:sz w:val="24"/>
          <w:szCs w:val="24"/>
        </w:rPr>
        <w:t>Ε</w:t>
      </w:r>
      <w:r>
        <w:rPr>
          <w:rStyle w:val="a8"/>
          <w:rFonts w:ascii="Times New Roman" w:eastAsia="Arial" w:hAnsi="Times New Roman" w:cs="Arial"/>
          <w:sz w:val="24"/>
          <w:szCs w:val="24"/>
          <w:lang w:eastAsia="el-GR"/>
        </w:rPr>
        <w:t>πειδή, με την κρινόμενη αγωγή, η ενάγουσα προβάλλει ότι παραιτήθηκε λόγω συνταξιοδότη</w:t>
      </w:r>
      <w:r>
        <w:rPr>
          <w:rStyle w:val="a8"/>
          <w:rFonts w:ascii="Times New Roman" w:eastAsia="Arial" w:hAnsi="Times New Roman" w:cs="Arial"/>
          <w:sz w:val="24"/>
          <w:szCs w:val="24"/>
          <w:lang w:eastAsia="el-GR"/>
        </w:rPr>
        <w:t>σης στις 8-10-2010 και με την υπ’ αριθμ. 15331/8-4-2011 πράξη του Γ.Λ.Κ., κανονίσθηκε υπέρ αυτής σύνταξη λόγω γήρατος, ποσού 588,38 ευρώ, ενώ ο χρόνος ασφάλισης που είχε διανύσει στο εναγόμενο, υπολογίσθηκε οριστικά στις 28-5-2015, ήτοι μετά την πάροδο 4 ε</w:t>
      </w:r>
      <w:r>
        <w:rPr>
          <w:rStyle w:val="a8"/>
          <w:rFonts w:ascii="Times New Roman" w:eastAsia="Arial" w:hAnsi="Times New Roman" w:cs="Arial"/>
          <w:sz w:val="24"/>
          <w:szCs w:val="24"/>
          <w:lang w:eastAsia="el-GR"/>
        </w:rPr>
        <w:t xml:space="preserve">τών και 7 μηνών από την παραίτησή της. Ακολούθως δε εκδόθηκε η υπ’ αριθμ. 32675/1-9-2015 τροποποιητική πράξη του Γ.Λ.Κ., με την οποία </w:t>
      </w:r>
      <w:r>
        <w:rPr>
          <w:rStyle w:val="a8"/>
          <w:rFonts w:ascii="Times New Roman" w:eastAsia="Arial" w:hAnsi="Times New Roman" w:cs="Arial"/>
          <w:sz w:val="24"/>
          <w:szCs w:val="24"/>
          <w:lang w:eastAsia="el-GR"/>
        </w:rPr>
        <w:lastRenderedPageBreak/>
        <w:t>η σύνταξή της αυξήθηκε στο ποσό των 782,68 ευρώ, από 1-9-2012, με συνολική συντάξιμη υπηρεσία 27 ετών 11 μηνών και 12 ημερ</w:t>
      </w:r>
      <w:r>
        <w:rPr>
          <w:rStyle w:val="a8"/>
          <w:rFonts w:ascii="Times New Roman" w:eastAsia="Arial" w:hAnsi="Times New Roman" w:cs="Arial"/>
          <w:sz w:val="24"/>
          <w:szCs w:val="24"/>
          <w:lang w:eastAsia="el-GR"/>
        </w:rPr>
        <w:t>ών, αφού συμπεριλήφθηκε βάσει των διατάξεων περί διαδοχικής ασφάλισης, ο χρόνος που είχε διανύσει στην ασφάλιση του Ι.Κ.Α., από 1-7-1973 έως 12-9-1993 (10 έτη 10 μήνες και 16 ημέρες).</w:t>
      </w:r>
    </w:p>
    <w:p w14:paraId="4BA80335"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Ειδικότερα, υποστηρίζει ότι το εναγόμενο ν.π.δ.δ. είχε ήδη ενημερωθεί αν</w:t>
      </w:r>
      <w:r>
        <w:rPr>
          <w:rStyle w:val="a8"/>
          <w:rFonts w:ascii="Times New Roman" w:eastAsia="Arial" w:hAnsi="Times New Roman" w:cs="Arial"/>
          <w:sz w:val="24"/>
          <w:szCs w:val="24"/>
          <w:lang w:eastAsia="el-GR"/>
        </w:rPr>
        <w:t>αφορικά με την υπόθεσή της, από τον απονέμοντα τη σύνταξη φορέα, κατά το έτος 2011 (με το υπ’ αριθμ. 146700/8-4-2011 έγγραφο του Διευθυντή της 42ης Διεύθυνσης, της Γενικής Διεύθυνσης Μισθών και Συντάξεων, του Γ.Λ.Κ.), ενώ η ίδια κατέθεσε τα ασφαλιστικά της</w:t>
      </w:r>
      <w:r>
        <w:rPr>
          <w:rStyle w:val="a8"/>
          <w:rFonts w:ascii="Times New Roman" w:eastAsia="Arial" w:hAnsi="Times New Roman" w:cs="Arial"/>
          <w:sz w:val="24"/>
          <w:szCs w:val="24"/>
          <w:lang w:eastAsia="el-GR"/>
        </w:rPr>
        <w:t xml:space="preserve"> βιβλιάρια προκειμένου να προχωρήσει η σχετική διαδικασία στις 19-5-2011 στο Περιφερειακό Υποκατάστημα Αθηνών. Πλην, όμως, το εν λόγω υποκατάστημα δεν επιλήφθηκε του φακέλου της, αλλά διαβίβασε αυτόν στο Τ.Υ. Ι.Κ.Α.-Ε.Τ.Α.Μ. Πατησίων, μετά την πάροδο 1 έτο</w:t>
      </w:r>
      <w:r>
        <w:rPr>
          <w:rStyle w:val="a8"/>
          <w:rFonts w:ascii="Times New Roman" w:eastAsia="Arial" w:hAnsi="Times New Roman" w:cs="Arial"/>
          <w:sz w:val="24"/>
          <w:szCs w:val="24"/>
          <w:lang w:eastAsia="el-GR"/>
        </w:rPr>
        <w:t>υς και 3 μηνών από την ως άνω κατάθεση των δικαιολογητικών αυτής. Ως εκ τούτου, όπως προβάλλεται, ο έλεγχος των ασφαλιστικών της στοιχείων καθυστέρησε, αφού ακολούθησε από την αρχή νέα σειρά αναμονής εξέτασης του φακέλου της από το Υποκατάστημα Πατησίων, σ</w:t>
      </w:r>
      <w:r>
        <w:rPr>
          <w:rStyle w:val="a8"/>
          <w:rFonts w:ascii="Times New Roman" w:eastAsia="Arial" w:hAnsi="Times New Roman" w:cs="Arial"/>
          <w:sz w:val="24"/>
          <w:szCs w:val="24"/>
          <w:lang w:eastAsia="el-GR"/>
        </w:rPr>
        <w:t>το οποίο ο όγκος των εκκρεμών υποθέσεων ήταν μεγάλος και ο αριθμός των υπαλλήλων ελάχιστος.</w:t>
      </w:r>
    </w:p>
    <w:p w14:paraId="078FEED6"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Περαιτέρω, αναφέρει ότι τα ένσημά της δόθηκαν στο Τμήμα Ανακεφαλαίωσης τον 11ο/2012 και έπειτα από σημαντική καθυστέρηση εστάλησαν σχετικά έγγραφα προς έλεγχο αυτώ</w:t>
      </w:r>
      <w:r>
        <w:rPr>
          <w:rStyle w:val="a8"/>
          <w:rFonts w:ascii="Times New Roman" w:eastAsia="Arial" w:hAnsi="Times New Roman" w:cs="Arial"/>
          <w:sz w:val="24"/>
          <w:szCs w:val="24"/>
          <w:lang w:eastAsia="el-GR"/>
        </w:rPr>
        <w:t>ν στα Τ.Υ. Ι.Κ.Α.-Ε.Τ.Α.Μ. Πλ. Συντάγματος, Νίκαιας και Πατησίων, ενώ οι απαντήσεις των τελευταίων ολοκληρώθηκαν κατά τους μήνες 2ο και 4ο/2014. Εξάλλου, ακόμα και μετά την έκδοση της υπ’ αριθμ. πρωτ. 4047/14-10-2014 απόφασης του Διευθυντή του Τ.Υ. Ι.Κ.Α.-</w:t>
      </w:r>
      <w:r>
        <w:rPr>
          <w:rStyle w:val="a8"/>
          <w:rFonts w:ascii="Times New Roman" w:eastAsia="Arial" w:hAnsi="Times New Roman" w:cs="Arial"/>
          <w:sz w:val="24"/>
          <w:szCs w:val="24"/>
          <w:lang w:eastAsia="el-GR"/>
        </w:rPr>
        <w:t>Ε.Τ.Α.Μ. Πατησίων, με την οποία έλαβε χώρα υπολογισμός του χρόνου ασφάλισής της, το Γενικό Λογιστήριο του Κράτους επαναπροώθησε την υπόθεση στο ως άνω υποκατάστημα του εναγόμενου λόγω εφαρμογής διαφορετικών νομοθετικών διατάξεων. Ενόψει των ανωτέρω, η ενάγ</w:t>
      </w:r>
      <w:r>
        <w:rPr>
          <w:rStyle w:val="a8"/>
          <w:rFonts w:ascii="Times New Roman" w:eastAsia="Arial" w:hAnsi="Times New Roman" w:cs="Arial"/>
          <w:sz w:val="24"/>
          <w:szCs w:val="24"/>
          <w:lang w:eastAsia="el-GR"/>
        </w:rPr>
        <w:t>ουσα προβάλλει ότι με τις προαναφερθείσες πράξεις και παραλείψεις των οργάνων του εναγόμενου, καθυστέρησε παράνομα ο προσδιορισμός του χρόνου ασφάλισής της στο Ι.Κ.Α. για χρονικό διάστημα 4 ετών, ήτοι από 19-5-2011, οπότε η ίδια είχε καταθέσει τα ασφαλιστι</w:t>
      </w:r>
      <w:r>
        <w:rPr>
          <w:rStyle w:val="a8"/>
          <w:rFonts w:ascii="Times New Roman" w:eastAsia="Arial" w:hAnsi="Times New Roman" w:cs="Arial"/>
          <w:sz w:val="24"/>
          <w:szCs w:val="24"/>
          <w:lang w:eastAsia="el-GR"/>
        </w:rPr>
        <w:t>κά της βιβλιάρια έως 28-5-2015, οπότε εκδόθηκε, τελικώς, η υπ’ αριθμ. πρωτ. 1960/28-5-2015 απόφαση του Διευθυντή του Τ.Υ. Ι.Κ.Α.-Ε.Τ.Α.Μ. Πατησίων.</w:t>
      </w:r>
    </w:p>
    <w:p w14:paraId="37CA2E68"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Ως αποτέλεσμα των παραπάνω παράνομων, όπως επικαλείται, πράξεων και παραλείψεων, η ενάγουσα προβάλλει ότι α</w:t>
      </w:r>
      <w:r>
        <w:rPr>
          <w:rStyle w:val="a8"/>
          <w:rFonts w:ascii="Times New Roman" w:eastAsia="Arial" w:hAnsi="Times New Roman" w:cs="Arial"/>
          <w:sz w:val="24"/>
          <w:szCs w:val="24"/>
          <w:lang w:eastAsia="el-GR"/>
        </w:rPr>
        <w:t xml:space="preserve">πώλεσε τμήμα της σύνταξής της, κατά το χρονικό διάστημα από 9-10-2010 έως 31-8-2012, ποσού 189,45 ευρώ μηνιαίως, το οποίο </w:t>
      </w:r>
      <w:r>
        <w:rPr>
          <w:rStyle w:val="a8"/>
          <w:rFonts w:ascii="Times New Roman" w:eastAsia="Arial" w:hAnsi="Times New Roman" w:cs="Arial"/>
          <w:sz w:val="24"/>
          <w:szCs w:val="24"/>
          <w:lang w:eastAsia="el-GR"/>
        </w:rPr>
        <w:lastRenderedPageBreak/>
        <w:t>αντιστοιχεί στο καταβαλλόμενο ποσό από τον συμμετέχοντα ασφαλιστικό οργανισμό, όπως υπολογίσθηκε με την υπ' αριθμ. 32675/1-9-2015 τροπ</w:t>
      </w:r>
      <w:r>
        <w:rPr>
          <w:rStyle w:val="a8"/>
          <w:rFonts w:ascii="Times New Roman" w:eastAsia="Arial" w:hAnsi="Times New Roman" w:cs="Arial"/>
          <w:sz w:val="24"/>
          <w:szCs w:val="24"/>
          <w:lang w:eastAsia="el-GR"/>
        </w:rPr>
        <w:t>οποιητική πράξη του Γενικού Λογιστηρίου του Κράτους. Τούτο διότι, κατ’ εφαρμογή του άρθρου 60 παρ. 1 του π.δ. 169/2007, απαγορεύεται η αναδρομική αναγνώριση οικονομικών δικαιωμάτων για συντάξεις, πέραν της τριετίας. Για το λόγο αυτό, ζητεί να υποχρεωθεί το</w:t>
      </w:r>
      <w:r>
        <w:rPr>
          <w:rStyle w:val="a8"/>
          <w:rFonts w:ascii="Times New Roman" w:eastAsia="Arial" w:hAnsi="Times New Roman" w:cs="Arial"/>
          <w:sz w:val="24"/>
          <w:szCs w:val="24"/>
          <w:lang w:eastAsia="el-GR"/>
        </w:rPr>
        <w:t xml:space="preserve"> εναγόμενο να της καταβάλει, νομιμοτόκως από την επίδοση της αγωγής και μέχρι την ολοσχερή της εξόφληση, το ποσό των 4.546,80 ευρώ (189,45 ευρώ Χ 24 μήνες), ως αποζημίωση, κατά τα άρθρα 105 και 106 του Εισ.Ν.Α.Κ. </w:t>
      </w:r>
      <w:r>
        <w:rPr>
          <w:rFonts w:ascii="Times New Roman" w:hAnsi="Times New Roman"/>
          <w:sz w:val="24"/>
          <w:szCs w:val="24"/>
        </w:rPr>
        <w:tab/>
      </w:r>
      <w:r>
        <w:rPr>
          <w:rFonts w:ascii="Times New Roman" w:hAnsi="Times New Roman"/>
          <w:sz w:val="24"/>
          <w:szCs w:val="24"/>
        </w:rPr>
        <w:tab/>
      </w:r>
      <w:r>
        <w:rPr>
          <w:rStyle w:val="a8"/>
          <w:rFonts w:ascii="Times New Roman" w:hAnsi="Times New Roman" w:cs="Arial"/>
          <w:sz w:val="24"/>
          <w:szCs w:val="24"/>
          <w:lang w:eastAsia="el-GR"/>
        </w:rPr>
        <w:tab/>
      </w:r>
    </w:p>
    <w:p w14:paraId="62631B21"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9. Επειδή, αντιθέτως, το εναγόμενο με τ</w:t>
      </w:r>
      <w:r>
        <w:rPr>
          <w:rStyle w:val="a8"/>
          <w:rFonts w:ascii="Times New Roman" w:eastAsia="Arial" w:hAnsi="Times New Roman" w:cs="Arial"/>
          <w:sz w:val="24"/>
          <w:szCs w:val="24"/>
          <w:lang w:eastAsia="el-GR"/>
        </w:rPr>
        <w:t>ις υποβληθείσες απόψεις του και το νομίμως κατατεθέν υπόμνημά του ζητεί την απόρριψη της αγωγής, προβάλλοντας ότι δεν υφίσταται καμία παράνομη και υπαίτια συμπεριφορά εκ μέρους των οργάνων του, εφόσον τηρήθηκαν οι νόμιμες διαδικασίες και βεβαιώθηκε ο ορθός</w:t>
      </w:r>
      <w:r>
        <w:rPr>
          <w:rStyle w:val="a8"/>
          <w:rFonts w:ascii="Times New Roman" w:eastAsia="Arial" w:hAnsi="Times New Roman" w:cs="Arial"/>
          <w:sz w:val="24"/>
          <w:szCs w:val="24"/>
          <w:lang w:eastAsia="el-GR"/>
        </w:rPr>
        <w:t xml:space="preserve"> χρόνος ασφάλισης αυτής, ο οποίος γνωστοποιήθηκε στο Γενικό Λογιστήριο του Κράτους με τις υπ’ αριθμ. πρωτ. 4047/14-10-2014 και 1960/28-5-2015 αποφάσεις του Διευθυντή του Τ.Υ. Ι.Κ.Α.-Ε.Τ.Α.Μ. Πατησίων. Περαιτέρω, ισχυρίζεται ότι προκειμένου να ολοκληρωθεί η</w:t>
      </w:r>
      <w:r>
        <w:rPr>
          <w:rStyle w:val="a8"/>
          <w:rFonts w:ascii="Times New Roman" w:eastAsia="Arial" w:hAnsi="Times New Roman" w:cs="Arial"/>
          <w:sz w:val="24"/>
          <w:szCs w:val="24"/>
          <w:lang w:eastAsia="el-GR"/>
        </w:rPr>
        <w:t xml:space="preserve"> ανακεφαλαίωση των ενσήμων της ενάγουσας έπρεπε να γίνουν έλεγχοι ασφάλισης, που ήταν απαραίτητοι προκειμένου να διαπιστωθεί ο χρόνος της πραγματικής απασχόλησής της στην ασφάλιση του Ι.Κ.Α., οι οποίοι εκκρεμούσαν σε τρία διαφορετικά υποκαταστήματ</w:t>
      </w:r>
      <w:r>
        <w:rPr>
          <w:rStyle w:val="a8"/>
          <w:rFonts w:ascii="Times New Roman" w:eastAsia="Arial" w:hAnsi="Times New Roman" w:cs="Arial"/>
          <w:sz w:val="24"/>
          <w:szCs w:val="24"/>
          <w:shd w:val="clear" w:color="auto" w:fill="FFFFFF"/>
          <w:lang w:eastAsia="el-GR"/>
        </w:rPr>
        <w:t xml:space="preserve">α αυτού. </w:t>
      </w:r>
      <w:r>
        <w:rPr>
          <w:rStyle w:val="a8"/>
          <w:rFonts w:ascii="Times New Roman" w:eastAsia="Arial" w:hAnsi="Times New Roman" w:cs="Arial"/>
          <w:sz w:val="24"/>
          <w:szCs w:val="24"/>
          <w:shd w:val="clear" w:color="auto" w:fill="FFFFFF"/>
          <w:lang w:eastAsia="el-GR"/>
        </w:rPr>
        <w:t>Επίσης, υποστηρίζεται, ότι οι αξιώσεις της ενάγουσας αναφορικά με το επίδικο χρονικό διάστημα από 10ο/2010 έως και 8ο/2012 έχου</w:t>
      </w:r>
      <w:r>
        <w:rPr>
          <w:rStyle w:val="a8"/>
          <w:rFonts w:ascii="Times New Roman" w:eastAsia="Arial" w:hAnsi="Times New Roman" w:cs="Arial"/>
          <w:sz w:val="24"/>
          <w:szCs w:val="24"/>
          <w:lang w:eastAsia="el-GR"/>
        </w:rPr>
        <w:t>ν υποπέσει στη διετή παραγραφή, που προβλέπεται από στα άρθρα 48 - 49 του ν.δ. 496/1974 και 90 - 91 του ν. 2362/1995.</w:t>
      </w:r>
    </w:p>
    <w:p w14:paraId="0F14A88B" w14:textId="77777777" w:rsidR="009354F0" w:rsidRDefault="00F418F8">
      <w:pPr>
        <w:pStyle w:val="a"/>
        <w:tabs>
          <w:tab w:val="left" w:pos="709"/>
        </w:tabs>
        <w:spacing w:after="0" w:line="360" w:lineRule="auto"/>
        <w:jc w:val="both"/>
      </w:pPr>
      <w:r>
        <w:rPr>
          <w:rStyle w:val="a8"/>
          <w:rFonts w:ascii="Times New Roman" w:eastAsia="Arial" w:hAnsi="Times New Roman" w:cs="Arial"/>
          <w:sz w:val="24"/>
          <w:szCs w:val="24"/>
          <w:lang w:eastAsia="el-GR"/>
        </w:rPr>
        <w:t>10. Επειδή,</w:t>
      </w:r>
      <w:r>
        <w:rPr>
          <w:rStyle w:val="a8"/>
          <w:rFonts w:ascii="Times New Roman" w:eastAsia="Arial" w:hAnsi="Times New Roman" w:cs="Arial"/>
          <w:sz w:val="24"/>
          <w:szCs w:val="24"/>
          <w:lang w:eastAsia="el-GR"/>
        </w:rPr>
        <w:t xml:space="preserve"> με βάση τα πραγματικά περιστατικά που αναφέρθηκαν και τις διατάξεις που παρατέθηκαν, όπως ερμηνεύθηκαν, λαμβάνονται υπόψη τα εξής: Οι αναφερόμενες στο άρθρο μόνο της Κ.Υ.Α. ΔΙΣΚΠΟ/Φ.17/29/26420/10-7-1991 προθεσμίες είναι ενδεικτικές, σύμφωνα με το άρθρο 1</w:t>
      </w:r>
      <w:r>
        <w:rPr>
          <w:rStyle w:val="a8"/>
          <w:rFonts w:ascii="Times New Roman" w:eastAsia="Arial" w:hAnsi="Times New Roman" w:cs="Arial"/>
          <w:sz w:val="24"/>
          <w:szCs w:val="24"/>
          <w:lang w:eastAsia="el-GR"/>
        </w:rPr>
        <w:t>0 παρ. 5 του Κώδικα Διοικητικής Διαδικασίας, περιέχοντας έντονη υπόδειξη προς τα αρμόδια όργανα να ολοκληρώσουν τη διαδικασία μέσα σε σύντομο και, πάντως, εύλογο χρόνο. Ωστόσο, η υπέρβαση των προβλεπόμενων προθεσμιών πέραν του ευλόγου χρόνου, στοιχειοθετεί</w:t>
      </w:r>
      <w:r>
        <w:rPr>
          <w:rStyle w:val="a8"/>
          <w:rFonts w:ascii="Times New Roman" w:eastAsia="Arial" w:hAnsi="Times New Roman" w:cs="Arial"/>
          <w:sz w:val="24"/>
          <w:szCs w:val="24"/>
          <w:lang w:eastAsia="el-GR"/>
        </w:rPr>
        <w:t xml:space="preserve"> ευθύνη του οικείου ασφαλιστικού οργανισμού προς αποζημίωση, κατά τα άρθρα 105 και 106 του Εισ.Ν.Α.Κ., εφόσον η καθυστέρηση διεκπεραίωσης του αιτήματος ασφαλισμένου συνδέεται αιτιωδώς με τη ζημία που αυτός υπέστη. Εν προκειμένω, παράλληλα με τη χορήγηση στ</w:t>
      </w:r>
      <w:r>
        <w:rPr>
          <w:rStyle w:val="a8"/>
          <w:rFonts w:ascii="Times New Roman" w:eastAsia="Arial" w:hAnsi="Times New Roman" w:cs="Arial"/>
          <w:sz w:val="24"/>
          <w:szCs w:val="24"/>
          <w:lang w:eastAsia="el-GR"/>
        </w:rPr>
        <w:t xml:space="preserve">ην ενάγουσα σύνταξης γήρατος, από 9-10-2010, πληρωτέα από το Ελληνικό Δημόσιο (υπ’ αριθμ. </w:t>
      </w:r>
      <w:r>
        <w:rPr>
          <w:rStyle w:val="a8"/>
          <w:rFonts w:ascii="Times New Roman" w:eastAsia="Arial" w:hAnsi="Times New Roman" w:cs="Arial"/>
          <w:sz w:val="24"/>
          <w:szCs w:val="24"/>
          <w:lang w:eastAsia="el-GR"/>
        </w:rPr>
        <w:lastRenderedPageBreak/>
        <w:t>15331/8-4-2011 συνταξιοδοτική πράξη του Διευθυντή της 42ης Διεύθυνσης, της Γενικής Διεύθυνσης Συντάξεων, του Γ.Λ.Κ.), ζητήθηκαν με το υπ’ αριθμ. πρωτ. 146700/8-4-2011</w:t>
      </w:r>
      <w:r>
        <w:rPr>
          <w:rStyle w:val="a8"/>
          <w:rFonts w:ascii="Times New Roman" w:eastAsia="Arial" w:hAnsi="Times New Roman" w:cs="Arial"/>
          <w:sz w:val="24"/>
          <w:szCs w:val="24"/>
          <w:lang w:eastAsia="el-GR"/>
        </w:rPr>
        <w:t xml:space="preserve"> έγγραφο του Διευθυντή της 42ης Διεύθυνσης, της Γενικής Διεύθυνσης Μισθών και Συντάξεων, του Γ.Λ.Κ. α</w:t>
      </w:r>
      <w:r>
        <w:rPr>
          <w:rStyle w:val="a8"/>
          <w:rFonts w:ascii="Times New Roman" w:eastAsia="Arial" w:hAnsi="Times New Roman" w:cs="Arial"/>
          <w:sz w:val="24"/>
          <w:szCs w:val="24"/>
          <w:shd w:val="clear" w:color="auto" w:fill="FFFFFF"/>
          <w:lang w:eastAsia="el-GR"/>
        </w:rPr>
        <w:t>πό το εναγόμενο, τα ασφαλιστικά στοιχεία της ενάγουσας, προκειμένου να ολοκληρωθεί η διαδικασία του ν.δ. 4202/1961, περί διαδοχικής ασφάλισης. Το εν λόγω έ</w:t>
      </w:r>
      <w:r>
        <w:rPr>
          <w:rStyle w:val="a8"/>
          <w:rFonts w:ascii="Times New Roman" w:eastAsia="Arial" w:hAnsi="Times New Roman" w:cs="Arial"/>
          <w:sz w:val="24"/>
          <w:szCs w:val="24"/>
          <w:shd w:val="clear" w:color="auto" w:fill="FFFFFF"/>
          <w:lang w:eastAsia="el-GR"/>
        </w:rPr>
        <w:t xml:space="preserve">γγραφο παρελήφθη από το εναγόμενο στις 19-5-2011, πλην, όμως, αυτό, μαζί με τα ασφαλιστικά στοιχεία της ενάγουσας (αντίγραφο Πινακίδας Ανακεφαλαίωσης Ημερών Εργασίας, 17 Δελτία Ασφαλιστικής Ταυτότητας και Εισφορών, </w:t>
      </w:r>
      <w:r>
        <w:rPr>
          <w:rStyle w:val="a8"/>
          <w:rFonts w:ascii="Times New Roman" w:eastAsia="Arial" w:hAnsi="Times New Roman" w:cs="Arial"/>
          <w:i/>
          <w:iCs/>
          <w:sz w:val="24"/>
          <w:szCs w:val="24"/>
          <w:shd w:val="clear" w:color="auto" w:fill="FFFFFF"/>
          <w:lang w:eastAsia="el-GR"/>
        </w:rPr>
        <w:t>2</w:t>
      </w:r>
      <w:r>
        <w:rPr>
          <w:rStyle w:val="a8"/>
          <w:rFonts w:ascii="Times New Roman" w:eastAsia="Arial" w:hAnsi="Times New Roman" w:cs="Arial"/>
          <w:sz w:val="24"/>
          <w:szCs w:val="24"/>
          <w:shd w:val="clear" w:color="auto" w:fill="FFFFFF"/>
          <w:lang w:eastAsia="el-GR"/>
        </w:rPr>
        <w:t xml:space="preserve"> αποφάσεις Ι.Κ.Α.) διαβιβάστηκαν μόλις σ</w:t>
      </w:r>
      <w:r>
        <w:rPr>
          <w:rStyle w:val="a8"/>
          <w:rFonts w:ascii="Times New Roman" w:eastAsia="Arial" w:hAnsi="Times New Roman" w:cs="Arial"/>
          <w:sz w:val="24"/>
          <w:szCs w:val="24"/>
          <w:shd w:val="clear" w:color="auto" w:fill="FFFFFF"/>
          <w:lang w:eastAsia="el-GR"/>
        </w:rPr>
        <w:t>τις 7-8-2012 (υπ' αριθμ. πρωτ. 9523/7-8-2012 έγγραφο του Διευθυ</w:t>
      </w:r>
      <w:r>
        <w:rPr>
          <w:rStyle w:val="a8"/>
          <w:rFonts w:ascii="Times New Roman" w:eastAsia="Arial" w:hAnsi="Times New Roman" w:cs="Arial"/>
          <w:sz w:val="24"/>
          <w:szCs w:val="24"/>
          <w:lang w:eastAsia="el-GR"/>
        </w:rPr>
        <w:t>ντή Μητρώου) από το Περιφερειακό Υποκατάστημα Αθηνών του Ι.Κ.Α.-Ε.Τ.Α.Μ., προς το Περιφερειακό Υποκατάστημα Ι.Κ.Α.-Ε.Τ.Α.Μ. Συντάξεων, προκειμένου να υπολογισθεί ο χρόνος ασφάλισης αυτής στο Τα</w:t>
      </w:r>
      <w:r>
        <w:rPr>
          <w:rStyle w:val="a8"/>
          <w:rFonts w:ascii="Times New Roman" w:eastAsia="Arial" w:hAnsi="Times New Roman" w:cs="Arial"/>
          <w:sz w:val="24"/>
          <w:szCs w:val="24"/>
          <w:lang w:eastAsia="el-GR"/>
        </w:rPr>
        <w:t>μείο, ενώ, περαιτέρω, ο φάκελος απεστάλη, λόγω αρμοδιότητας, με το υπ’ αριθμ. πρωτ. 160109/1-10-2012 έγγραφο της Προϊσταμένης του Περιφερειακού Υποκαταστήματος Συντάξεων του Ι.Κ.Α.-Ε.Τ.Α.Μ. προς το Τ.Υ. Ι.Κ.Α.-Ε.Τ.Α.Μ. Πατησίων.</w:t>
      </w:r>
    </w:p>
    <w:p w14:paraId="26929106" w14:textId="77777777" w:rsidR="009354F0" w:rsidRDefault="00F418F8">
      <w:pPr>
        <w:pStyle w:val="a"/>
        <w:tabs>
          <w:tab w:val="left" w:pos="709"/>
        </w:tabs>
        <w:spacing w:after="0" w:line="360" w:lineRule="auto"/>
        <w:jc w:val="both"/>
      </w:pPr>
      <w:r>
        <w:rPr>
          <w:rStyle w:val="a8"/>
          <w:rFonts w:ascii="Times New Roman" w:eastAsia="Arial" w:hAnsi="Times New Roman" w:cs="Arial"/>
          <w:sz w:val="24"/>
          <w:szCs w:val="24"/>
          <w:lang w:eastAsia="el-GR"/>
        </w:rPr>
        <w:tab/>
        <w:t>Ακολούθως, κατόπιν ερωτημά</w:t>
      </w:r>
      <w:r>
        <w:rPr>
          <w:rStyle w:val="a8"/>
          <w:rFonts w:ascii="Times New Roman" w:eastAsia="Arial" w:hAnsi="Times New Roman" w:cs="Arial"/>
          <w:sz w:val="24"/>
          <w:szCs w:val="24"/>
          <w:lang w:eastAsia="el-GR"/>
        </w:rPr>
        <w:t>των της Προϊσταμένης του Τμήματος Ανακ/σης Συντάξεων του Τ.Υ. Ι.Κ.Α.-Ε.Τ.Α.Μ. Πατησίων, προς τα Υποκαταστήματα Ι.Κ.Α.-Ε.Τ.Α.Μ. Πατησίων, Πλ. Συντάγματος και Νίκαιας, για τον καθορισμό των ημερών εργασίας της ενάγουσας και αφού διενεργήθηκαν σχετικοί έλεγχο</w:t>
      </w:r>
      <w:r>
        <w:rPr>
          <w:rStyle w:val="a8"/>
          <w:rFonts w:ascii="Times New Roman" w:eastAsia="Arial" w:hAnsi="Times New Roman" w:cs="Arial"/>
          <w:sz w:val="24"/>
          <w:szCs w:val="24"/>
          <w:lang w:eastAsia="el-GR"/>
        </w:rPr>
        <w:t>ι, εκδόθηκε αρχικά, η υπ’ αριθμ. πρωτ. 4047/14-10-2014 απόφαση του Διευθυντή του Τ.Υ. Ι.Κ.Α.-Ε.Τ.Α.Μ. Πατησίων, με την οποία, κατ’ εφαρμογή των διατάξεων του άρθρου 10 του ν.δ. 4202/1961, βεβαιώθηκε ότι η ενάγουσα υπήρξε ασφαλισμένη στο Ι.Κ.Α.-Ε.Τ.Α.Μ. από</w:t>
      </w:r>
      <w:r>
        <w:rPr>
          <w:rStyle w:val="a8"/>
          <w:rFonts w:ascii="Times New Roman" w:eastAsia="Arial" w:hAnsi="Times New Roman" w:cs="Arial"/>
          <w:sz w:val="24"/>
          <w:szCs w:val="24"/>
          <w:lang w:eastAsia="el-GR"/>
        </w:rPr>
        <w:t xml:space="preserve"> τον 7ο/1973 έως τον 9ο/1993, έχοντας πραγματοποιήσει συνολικά 3.265 ημερομίσθια.</w:t>
      </w:r>
    </w:p>
    <w:p w14:paraId="5FD25351" w14:textId="77777777" w:rsidR="009354F0" w:rsidRDefault="00F418F8">
      <w:pPr>
        <w:pStyle w:val="a"/>
        <w:tabs>
          <w:tab w:val="left" w:pos="709"/>
        </w:tabs>
        <w:spacing w:after="0" w:line="360" w:lineRule="auto"/>
        <w:jc w:val="both"/>
      </w:pPr>
      <w:r>
        <w:rPr>
          <w:rStyle w:val="a8"/>
          <w:rFonts w:ascii="Times New Roman" w:eastAsia="Arial" w:hAnsi="Times New Roman" w:cs="Arial"/>
          <w:sz w:val="24"/>
          <w:szCs w:val="24"/>
          <w:lang w:eastAsia="el-GR"/>
        </w:rPr>
        <w:tab/>
        <w:t xml:space="preserve">Στη συνέχεια, αφού κλήθηκε το ως άνω Υποκατάστημα του εναγόμενου να προβεί στη διόρθωση της προαναφερθείσας απόφασής του, ενόψει του ότι στην περίπτωση της </w:t>
      </w:r>
      <w:r>
        <w:rPr>
          <w:rStyle w:val="a8"/>
          <w:rFonts w:ascii="Times New Roman" w:eastAsia="Arial" w:hAnsi="Times New Roman" w:cs="Arial"/>
          <w:sz w:val="24"/>
          <w:szCs w:val="24"/>
          <w:lang w:eastAsia="el-GR"/>
        </w:rPr>
        <w:t>ενάγουσας τυγχάνουν εφαρμογής οι διατάξεις του άρθρου 11 του ν.δ. 4202/1961 (υπ’ αριθμ. πρωτ. 155547/16-12-2014 έγγραφο του Διευθυντή της 42ης Διεύθυνσης, της Γενικής Διεύθυνσης Μισθών και Συντάξεων, του Γ.Λ.Κ.), εκδόθηκε εν τέλει η υπ’ αριθμ. πρωτ. 1960/2</w:t>
      </w:r>
      <w:r>
        <w:rPr>
          <w:rStyle w:val="a8"/>
          <w:rFonts w:ascii="Times New Roman" w:eastAsia="Arial" w:hAnsi="Times New Roman" w:cs="Arial"/>
          <w:sz w:val="24"/>
          <w:szCs w:val="24"/>
          <w:lang w:eastAsia="el-GR"/>
        </w:rPr>
        <w:t xml:space="preserve">8-5-2015 απόφαση του Διευθυντή του Τ.Υ. Ι.Κ.Α.-Ε.Τ.Α.Μ. Πατησίων, με την οποία βεβαιώθηκε ότι ο χρόνος ασφάλισης αυτής στο εν λόγω Ταμείο ανέρχονταν σε 3.265 ημέρες από τον 7ο/1973 έως τον 9ο/1993. Συνεπώς, από τις 19-5-2011, οπότε περιήλθε στον εναγόμενο </w:t>
      </w:r>
      <w:r>
        <w:rPr>
          <w:rStyle w:val="a8"/>
          <w:rFonts w:ascii="Times New Roman" w:eastAsia="Arial" w:hAnsi="Times New Roman" w:cs="Arial"/>
          <w:sz w:val="24"/>
          <w:szCs w:val="24"/>
          <w:lang w:eastAsia="el-GR"/>
        </w:rPr>
        <w:t xml:space="preserve">ασφαλιστικό οργανισμό η υπόθεση της ενάγουσας μέχρι τις 28-5-2015, οπότε αυτή διεκπεραιώθηκε από το Ι.Κ.Α., με την </w:t>
      </w:r>
      <w:r>
        <w:rPr>
          <w:rStyle w:val="a8"/>
          <w:rFonts w:ascii="Times New Roman" w:eastAsia="Arial" w:hAnsi="Times New Roman" w:cs="Arial"/>
          <w:sz w:val="24"/>
          <w:szCs w:val="24"/>
          <w:lang w:eastAsia="el-GR"/>
        </w:rPr>
        <w:lastRenderedPageBreak/>
        <w:t>έκδοση απόφασης περί βεβαίωσης του διανυθέντα χρόνου ασφάλισης στο εν λόγω Ίδρυμα, παρήλθε χρονικό διάστημα τεσσάρων ετών. Το προαναφερθέν χρ</w:t>
      </w:r>
      <w:r>
        <w:rPr>
          <w:rStyle w:val="a8"/>
          <w:rFonts w:ascii="Times New Roman" w:eastAsia="Arial" w:hAnsi="Times New Roman" w:cs="Arial"/>
          <w:sz w:val="24"/>
          <w:szCs w:val="24"/>
          <w:lang w:eastAsia="el-GR"/>
        </w:rPr>
        <w:t>ονικό διάστημα, συνεκτιμώντας και την πολυπλοκότητα της υπόθεσης, ενόψει του ότι απαιτήθηκε η διενέργεια επιμέρους ελέγχων σε τρία διαφορετικά υποκαταστήματα του Ι.Κ.Α.-Ε.Τ.Α.Μ., υπερβαίνει το εύλογο, εντός του οποίου όφειλε το εναγόμενο να διεκπεραιώσει τ</w:t>
      </w:r>
      <w:r>
        <w:rPr>
          <w:rStyle w:val="a8"/>
          <w:rFonts w:ascii="Times New Roman" w:eastAsia="Arial" w:hAnsi="Times New Roman" w:cs="Arial"/>
          <w:sz w:val="24"/>
          <w:szCs w:val="24"/>
          <w:lang w:eastAsia="el-GR"/>
        </w:rPr>
        <w:t>ην υπόθεση της ενάγουσας.</w:t>
      </w:r>
    </w:p>
    <w:p w14:paraId="22D336D9" w14:textId="77777777" w:rsidR="009354F0" w:rsidRDefault="00F418F8">
      <w:pPr>
        <w:pStyle w:val="a"/>
        <w:tabs>
          <w:tab w:val="left" w:pos="709"/>
        </w:tabs>
        <w:spacing w:after="0" w:line="360" w:lineRule="auto"/>
        <w:jc w:val="both"/>
      </w:pPr>
      <w:r>
        <w:rPr>
          <w:rStyle w:val="a8"/>
          <w:rFonts w:ascii="Times New Roman" w:eastAsia="Arial" w:hAnsi="Times New Roman" w:cs="Arial"/>
          <w:sz w:val="24"/>
          <w:szCs w:val="24"/>
          <w:lang w:eastAsia="el-GR"/>
        </w:rPr>
        <w:tab/>
        <w:t>Εξάλλου, η ζημία, που επικαλείται ότι υπέστη η ασφαλισμένη από τις προαναφερθείσες παράνομες παραλείψεις των οργάνων του εναγόμενου, συνίσταται στην απώλεια τμήματος της σύνταξής της, κατά το χρονικό διάστημα από 9-10-2010 έως 3</w:t>
      </w:r>
      <w:r>
        <w:rPr>
          <w:rStyle w:val="a8"/>
          <w:rFonts w:ascii="Times New Roman" w:eastAsia="Arial" w:hAnsi="Times New Roman" w:cs="Arial"/>
          <w:sz w:val="24"/>
          <w:szCs w:val="24"/>
          <w:lang w:eastAsia="el-GR"/>
        </w:rPr>
        <w:t>1-8-2012 ποσού 189,45 ευρώ μηνιαίως, το οποίο αντιστοιχεί στο καταβαλλόμενο ποσό από τον συμμετέχοντα ασφαλιστικό οργανισμό, όπως υπολογίσθηκε με την υπ' αριθμ. 32675/1-9-2015 τροποποιητική πράξη του Γενικού Λογιστηρίου του Κράτους, όπου συμπεριλήφθηκε στη</w:t>
      </w:r>
      <w:r>
        <w:rPr>
          <w:rStyle w:val="a8"/>
          <w:rFonts w:ascii="Times New Roman" w:eastAsia="Arial" w:hAnsi="Times New Roman" w:cs="Arial"/>
          <w:sz w:val="24"/>
          <w:szCs w:val="24"/>
          <w:lang w:eastAsia="el-GR"/>
        </w:rPr>
        <w:t xml:space="preserve"> συνολική συντάξιμη υπηρεσία της ίδιας, ο χρόνος (10 έτη 10 μήνες και 16 ημέρες), που είχε διανύσει στην ασφάλιση του εναγόμενου. Η εν λόγω ζημία της ενάγουσας τελεί σε αιτιώδη συνάφεια με την παράνομη κατά τα ως άνω καθυστέρηση ως προς τον προσδιορισμό το</w:t>
      </w:r>
      <w:r>
        <w:rPr>
          <w:rStyle w:val="a8"/>
          <w:rFonts w:ascii="Times New Roman" w:eastAsia="Arial" w:hAnsi="Times New Roman" w:cs="Arial"/>
          <w:sz w:val="24"/>
          <w:szCs w:val="24"/>
          <w:lang w:eastAsia="el-GR"/>
        </w:rPr>
        <w:t>υ χρόνου ασφάλισής της στο Ι.Κ.Α., στο πλαίσιο ελέγχου των προϋποθέσεων περί διαδοχικής ασφάλισης. Ως εκ τούτου, στοιχειοθετείται ευθύνη του εναγόμενου ασφαλιστικού οργανισμού προς αποζημίωση, κατά τα άρθρα 105 και 106 του Εισ.Ν.Α.Κ. Άλλωστε, η επίδικη αξί</w:t>
      </w:r>
      <w:r>
        <w:rPr>
          <w:rStyle w:val="a8"/>
          <w:rFonts w:ascii="Times New Roman" w:eastAsia="Arial" w:hAnsi="Times New Roman" w:cs="Arial"/>
          <w:sz w:val="24"/>
          <w:szCs w:val="24"/>
          <w:lang w:eastAsia="el-GR"/>
        </w:rPr>
        <w:t>ωση της ενάγουσας δεν έχει υποπέσει στην πενταετή παραγραφή που προβλέπεται για τις απαιτήσεις κατά του Ι.Κ.Α., η οποία ξεκίνησε από τη γένεσή της, ήτοι από την έκδοση της υπ’ αριθμ. 32675/1-9-2015 τροποποιητικής πράξης του Διευθυντή της Διεύθυνσης Κανονισ</w:t>
      </w:r>
      <w:r>
        <w:rPr>
          <w:rStyle w:val="a8"/>
          <w:rFonts w:ascii="Times New Roman" w:eastAsia="Arial" w:hAnsi="Times New Roman" w:cs="Arial"/>
          <w:sz w:val="24"/>
          <w:szCs w:val="24"/>
          <w:lang w:eastAsia="el-GR"/>
        </w:rPr>
        <w:t>μού και Εντολής Πληρωμής Πολιτικών Συντάξεων, της Γενικής Διεύθυνσης Χορήγησης Συντάξεων Δημοσίου Τομέα, του Γ.Λ.Κ., με την οποία η σύνταξή της αυξήθηκε στο ποσό των 782,68 ευρώ, από 1-9-2012, λόγω μη αναγνώρισης οικονομικών δικαιωμάτων για συντάξεις, πέρα</w:t>
      </w:r>
      <w:r>
        <w:rPr>
          <w:rStyle w:val="a8"/>
          <w:rFonts w:ascii="Times New Roman" w:eastAsia="Arial" w:hAnsi="Times New Roman" w:cs="Arial"/>
          <w:sz w:val="24"/>
          <w:szCs w:val="24"/>
          <w:lang w:eastAsia="el-GR"/>
        </w:rPr>
        <w:t xml:space="preserve">ν της τριετίας, κατ’ εφαρμογή του άρθρου 60 παρ. 1 του π.δ. 169/2007. Η παραπάνω παραγραφή δεν είχε συμπληρωθεί έως την επίδοση της αγωγής, που έλαβε χώρα στην 1-2-2019 (βλ. .......), </w:t>
      </w:r>
      <w:r>
        <w:rPr>
          <w:rStyle w:val="a8"/>
          <w:rFonts w:ascii="Times New Roman" w:eastAsia="Arial" w:hAnsi="Times New Roman" w:cs="Arial"/>
          <w:sz w:val="24"/>
          <w:szCs w:val="24"/>
        </w:rPr>
        <w:t>ενώ η διετής παραγραφή του άρθρου 48 παρ. 5 του ν.δ. 496/1974, δεν εφαρμ</w:t>
      </w:r>
      <w:r>
        <w:rPr>
          <w:rStyle w:val="a8"/>
          <w:rFonts w:ascii="Times New Roman" w:eastAsia="Arial" w:hAnsi="Times New Roman" w:cs="Arial"/>
          <w:sz w:val="24"/>
          <w:szCs w:val="24"/>
        </w:rPr>
        <w:t>όζεται αναφορικά με τον εναγόμενο ασφαλιστικό οργανισμό (βλ. υπ’ αριθμ. 6 σκέψη), απορριπτομένων ως αβάσιμων των περί του αντιθέτου προβαλλόμενων ισχυρισμών αυτού. Κατόπιν τούτων, το Δικαστήριο κρίνει ότι πρέπει να υποχρεωθεί το εναγόμενο να καταβάλει στην</w:t>
      </w:r>
      <w:r>
        <w:rPr>
          <w:rStyle w:val="a8"/>
          <w:rFonts w:ascii="Times New Roman" w:eastAsia="Arial" w:hAnsi="Times New Roman" w:cs="Arial"/>
          <w:sz w:val="24"/>
          <w:szCs w:val="24"/>
        </w:rPr>
        <w:t xml:space="preserve"> ενάγουσα το συνολικό ποσό των (189,45 ευρώ Χ 23 μήνες, από 10ο/2010 έως και 8ο/2012 =) 4.357,35 ευρώ, </w:t>
      </w:r>
      <w:r>
        <w:rPr>
          <w:rStyle w:val="a8"/>
          <w:rFonts w:ascii="Times New Roman" w:eastAsia="Arial" w:hAnsi="Times New Roman" w:cs="Arial"/>
          <w:sz w:val="24"/>
          <w:szCs w:val="24"/>
        </w:rPr>
        <w:lastRenderedPageBreak/>
        <w:t>νομιμοτόκως από την επίδοση της αγωγής (1-2-2019) και μέχρι την ολοσχερή της εξόφληση.</w:t>
      </w:r>
    </w:p>
    <w:p w14:paraId="1BEBF64E" w14:textId="77777777" w:rsidR="009354F0" w:rsidRDefault="00F418F8">
      <w:pPr>
        <w:pStyle w:val="a"/>
        <w:tabs>
          <w:tab w:val="left" w:pos="709"/>
        </w:tabs>
        <w:spacing w:after="0" w:line="360" w:lineRule="auto"/>
        <w:ind w:firstLine="709"/>
        <w:jc w:val="both"/>
      </w:pPr>
      <w:r>
        <w:rPr>
          <w:rStyle w:val="a8"/>
          <w:rFonts w:ascii="Times New Roman" w:eastAsia="Arial" w:hAnsi="Times New Roman" w:cs="Arial"/>
          <w:sz w:val="24"/>
          <w:szCs w:val="24"/>
          <w:lang w:eastAsia="el-GR"/>
        </w:rPr>
        <w:t xml:space="preserve">11. Επειδή, κατ’ ακολουθίαν των ανωτέρω, πρέπει να γίνει εν μέρει </w:t>
      </w:r>
      <w:r>
        <w:rPr>
          <w:rStyle w:val="a8"/>
          <w:rFonts w:ascii="Times New Roman" w:eastAsia="Arial" w:hAnsi="Times New Roman" w:cs="Arial"/>
          <w:sz w:val="24"/>
          <w:szCs w:val="24"/>
          <w:lang w:eastAsia="el-GR"/>
        </w:rPr>
        <w:t xml:space="preserve">δεκτή η αγωγή, να υποχρεωθεί το εναγόμενο να καταβάλει στην ενάγουσα το ποσό των 4.357,35 ευρώ, </w:t>
      </w:r>
      <w:r>
        <w:rPr>
          <w:rStyle w:val="a8"/>
          <w:rFonts w:ascii="Times New Roman" w:eastAsia="Arial" w:hAnsi="Times New Roman" w:cs="Arial"/>
          <w:sz w:val="24"/>
          <w:szCs w:val="24"/>
        </w:rPr>
        <w:t>νομιμοτόκως από την επίδοση της αγωγής (1-2-2019) και μέχρι την ολοσχερή της εξόφληση, καθώς επίσης και να συμψηφισθούν τα δικαστικά έξοδα μεταξύ των διαδίκων λ</w:t>
      </w:r>
      <w:r>
        <w:rPr>
          <w:rStyle w:val="a8"/>
          <w:rFonts w:ascii="Times New Roman" w:eastAsia="Arial" w:hAnsi="Times New Roman" w:cs="Arial"/>
          <w:sz w:val="24"/>
          <w:szCs w:val="24"/>
        </w:rPr>
        <w:t>όγω της μερικής νίκης και ήττας αυτών (άρθρο 275 παρ. 1 του Κ.Δ.Δ)</w:t>
      </w:r>
    </w:p>
    <w:p w14:paraId="4654CF26" w14:textId="77777777" w:rsidR="009354F0" w:rsidRDefault="00F418F8">
      <w:pPr>
        <w:pStyle w:val="a"/>
        <w:tabs>
          <w:tab w:val="left" w:pos="5670"/>
        </w:tabs>
        <w:spacing w:after="0" w:line="360" w:lineRule="auto"/>
        <w:jc w:val="center"/>
      </w:pPr>
      <w:r>
        <w:rPr>
          <w:rStyle w:val="a8"/>
          <w:rFonts w:ascii="Times New Roman" w:eastAsia="Arial" w:hAnsi="Times New Roman" w:cs="Arial"/>
          <w:b/>
          <w:bCs/>
          <w:color w:val="000000"/>
          <w:sz w:val="24"/>
          <w:szCs w:val="24"/>
          <w:lang w:eastAsia="zh-CN"/>
        </w:rPr>
        <w:t>ΔΙΑ ΤΑΥΤΑ</w:t>
      </w:r>
    </w:p>
    <w:p w14:paraId="3E9BC337" w14:textId="77777777" w:rsidR="009354F0" w:rsidRDefault="00F418F8">
      <w:pPr>
        <w:pStyle w:val="a"/>
        <w:tabs>
          <w:tab w:val="left" w:pos="851"/>
          <w:tab w:val="left" w:pos="1134"/>
        </w:tabs>
        <w:spacing w:after="0" w:line="360" w:lineRule="auto"/>
        <w:ind w:firstLine="851"/>
        <w:jc w:val="both"/>
        <w:rPr>
          <w:rFonts w:ascii="Times New Roman" w:eastAsia="Arial" w:hAnsi="Times New Roman" w:cs="Arial"/>
          <w:sz w:val="24"/>
          <w:szCs w:val="24"/>
          <w:lang w:eastAsia="el-GR"/>
        </w:rPr>
      </w:pPr>
      <w:r>
        <w:rPr>
          <w:rFonts w:ascii="Times New Roman" w:eastAsia="Arial" w:hAnsi="Times New Roman" w:cs="Arial"/>
          <w:sz w:val="24"/>
          <w:szCs w:val="24"/>
          <w:lang w:eastAsia="el-GR"/>
        </w:rPr>
        <w:t>Δέχεται την αγωγή.</w:t>
      </w:r>
    </w:p>
    <w:p w14:paraId="789CE9B9" w14:textId="77777777" w:rsidR="009354F0" w:rsidRDefault="00F418F8">
      <w:pPr>
        <w:pStyle w:val="a"/>
        <w:tabs>
          <w:tab w:val="left" w:pos="851"/>
          <w:tab w:val="left" w:pos="1134"/>
        </w:tabs>
        <w:spacing w:after="0" w:line="360" w:lineRule="auto"/>
        <w:ind w:firstLine="851"/>
        <w:jc w:val="both"/>
        <w:rPr>
          <w:rFonts w:ascii="Times New Roman" w:eastAsia="Arial" w:hAnsi="Times New Roman" w:cs="Arial"/>
          <w:sz w:val="24"/>
          <w:szCs w:val="24"/>
          <w:lang w:eastAsia="el-GR"/>
        </w:rPr>
      </w:pPr>
      <w:r>
        <w:rPr>
          <w:rFonts w:ascii="Times New Roman" w:eastAsia="Arial" w:hAnsi="Times New Roman" w:cs="Arial"/>
          <w:sz w:val="24"/>
          <w:szCs w:val="24"/>
          <w:lang w:eastAsia="el-GR"/>
        </w:rPr>
        <w:t xml:space="preserve">Υποχρεώνει το εναγόμενο να καταβάλει στην ενάγουσα το ποσό των τεσσάρων χιλιάδων τριακοσίων πενήντα επτά ευρώ και τριάντα πέντε λεπτών (4.357,35 ευρώ), </w:t>
      </w:r>
      <w:r>
        <w:rPr>
          <w:rFonts w:ascii="Times New Roman" w:eastAsia="Arial" w:hAnsi="Times New Roman" w:cs="Arial"/>
          <w:sz w:val="24"/>
          <w:szCs w:val="24"/>
          <w:lang w:eastAsia="el-GR"/>
        </w:rPr>
        <w:t>νομιμοτόκως από την επίδοση της αγωγής (1-2-2019) και μέχρι την ολοσχερή της εξόφληση.</w:t>
      </w:r>
    </w:p>
    <w:p w14:paraId="36BF48C2" w14:textId="77777777" w:rsidR="009354F0" w:rsidRDefault="00F418F8">
      <w:pPr>
        <w:pStyle w:val="a"/>
        <w:tabs>
          <w:tab w:val="left" w:pos="851"/>
          <w:tab w:val="left" w:pos="1134"/>
        </w:tabs>
        <w:spacing w:after="0" w:line="360" w:lineRule="auto"/>
        <w:ind w:firstLine="851"/>
        <w:jc w:val="both"/>
        <w:rPr>
          <w:rFonts w:ascii="Times New Roman" w:eastAsia="Arial" w:hAnsi="Times New Roman" w:cs="Arial"/>
          <w:sz w:val="24"/>
          <w:szCs w:val="24"/>
          <w:lang w:eastAsia="el-GR"/>
        </w:rPr>
      </w:pPr>
      <w:r>
        <w:rPr>
          <w:rFonts w:ascii="Times New Roman" w:eastAsia="Arial" w:hAnsi="Times New Roman" w:cs="Arial"/>
          <w:sz w:val="24"/>
          <w:szCs w:val="24"/>
          <w:lang w:eastAsia="el-GR"/>
        </w:rPr>
        <w:t>Συμψηφίζει τα δικαστικά έξοδα μεταξύ των διαδίκων.</w:t>
      </w:r>
    </w:p>
    <w:p w14:paraId="6356F957" w14:textId="77777777" w:rsidR="009354F0" w:rsidRDefault="00F418F8">
      <w:pPr>
        <w:pStyle w:val="a"/>
        <w:tabs>
          <w:tab w:val="left" w:pos="851"/>
          <w:tab w:val="left" w:pos="1134"/>
        </w:tabs>
        <w:spacing w:after="0" w:line="360" w:lineRule="auto"/>
        <w:ind w:firstLine="851"/>
        <w:jc w:val="both"/>
        <w:rPr>
          <w:rFonts w:ascii="Times New Roman" w:eastAsia="Arial" w:hAnsi="Times New Roman" w:cs="Arial"/>
          <w:sz w:val="24"/>
          <w:szCs w:val="24"/>
          <w:lang w:eastAsia="el-GR"/>
        </w:rPr>
      </w:pPr>
      <w:r>
        <w:rPr>
          <w:rFonts w:ascii="Times New Roman" w:eastAsia="Arial" w:hAnsi="Times New Roman" w:cs="Arial"/>
          <w:sz w:val="24"/>
          <w:szCs w:val="24"/>
          <w:lang w:eastAsia="el-GR"/>
        </w:rPr>
        <w:t>Η απόφαση δημοσιεύθηκε στην Αθήνα, στο ακροατήριο του Δικαστηρίου, κατά την έκτακτη δημόσια συνεδρίαση της 3-2-2021.</w:t>
      </w:r>
    </w:p>
    <w:tbl>
      <w:tblPr>
        <w:tblW w:w="7926" w:type="dxa"/>
        <w:tblLayout w:type="fixed"/>
        <w:tblCellMar>
          <w:left w:w="10" w:type="dxa"/>
          <w:right w:w="10" w:type="dxa"/>
        </w:tblCellMar>
        <w:tblLook w:val="04A0" w:firstRow="1" w:lastRow="0" w:firstColumn="1" w:lastColumn="0" w:noHBand="0" w:noVBand="1"/>
      </w:tblPr>
      <w:tblGrid>
        <w:gridCol w:w="3963"/>
        <w:gridCol w:w="3963"/>
      </w:tblGrid>
      <w:tr w:rsidR="009354F0" w14:paraId="582529AC" w14:textId="77777777">
        <w:tblPrEx>
          <w:tblCellMar>
            <w:top w:w="0" w:type="dxa"/>
            <w:bottom w:w="0" w:type="dxa"/>
          </w:tblCellMar>
        </w:tblPrEx>
        <w:tc>
          <w:tcPr>
            <w:tcW w:w="3963" w:type="dxa"/>
            <w:tcMar>
              <w:top w:w="0" w:type="dxa"/>
              <w:left w:w="108" w:type="dxa"/>
              <w:bottom w:w="0" w:type="dxa"/>
              <w:right w:w="108" w:type="dxa"/>
            </w:tcMar>
          </w:tcPr>
          <w:p w14:paraId="1AA867A8" w14:textId="77777777" w:rsidR="009354F0" w:rsidRDefault="00F418F8">
            <w:pPr>
              <w:pStyle w:val="a"/>
              <w:tabs>
                <w:tab w:val="left" w:pos="851"/>
                <w:tab w:val="left" w:pos="1134"/>
              </w:tabs>
              <w:spacing w:after="0" w:line="360" w:lineRule="auto"/>
              <w:jc w:val="both"/>
              <w:rPr>
                <w:rFonts w:ascii="Times New Roman" w:eastAsia="Arial" w:hAnsi="Times New Roman" w:cs="Arial"/>
                <w:b/>
                <w:bCs/>
                <w:sz w:val="24"/>
                <w:szCs w:val="24"/>
                <w:lang w:eastAsia="el-GR"/>
              </w:rPr>
            </w:pPr>
            <w:r>
              <w:rPr>
                <w:rFonts w:ascii="Times New Roman" w:eastAsia="Arial" w:hAnsi="Times New Roman" w:cs="Arial"/>
                <w:b/>
                <w:bCs/>
                <w:sz w:val="24"/>
                <w:szCs w:val="24"/>
                <w:lang w:eastAsia="el-GR"/>
              </w:rPr>
              <w:t>Η</w:t>
            </w:r>
            <w:r>
              <w:rPr>
                <w:rFonts w:ascii="Times New Roman" w:eastAsia="Arial" w:hAnsi="Times New Roman" w:cs="Arial"/>
                <w:b/>
                <w:bCs/>
                <w:sz w:val="24"/>
                <w:szCs w:val="24"/>
                <w:lang w:eastAsia="el-GR"/>
              </w:rPr>
              <w:t xml:space="preserve"> ΔΙΚΑΣΤΗΣ</w:t>
            </w:r>
          </w:p>
          <w:p w14:paraId="499D64D5" w14:textId="77777777" w:rsidR="009354F0" w:rsidRDefault="009354F0">
            <w:pPr>
              <w:pStyle w:val="a"/>
              <w:tabs>
                <w:tab w:val="left" w:pos="851"/>
                <w:tab w:val="left" w:pos="1134"/>
              </w:tabs>
              <w:spacing w:after="0" w:line="360" w:lineRule="auto"/>
              <w:jc w:val="both"/>
              <w:rPr>
                <w:rFonts w:ascii="Times New Roman" w:eastAsia="Arial" w:hAnsi="Times New Roman" w:cs="Arial"/>
                <w:b/>
                <w:bCs/>
                <w:sz w:val="24"/>
                <w:szCs w:val="24"/>
                <w:lang w:eastAsia="el-GR"/>
              </w:rPr>
            </w:pPr>
          </w:p>
        </w:tc>
        <w:tc>
          <w:tcPr>
            <w:tcW w:w="3963" w:type="dxa"/>
            <w:tcMar>
              <w:top w:w="0" w:type="dxa"/>
              <w:left w:w="108" w:type="dxa"/>
              <w:bottom w:w="0" w:type="dxa"/>
              <w:right w:w="108" w:type="dxa"/>
            </w:tcMar>
          </w:tcPr>
          <w:p w14:paraId="36322030" w14:textId="77777777" w:rsidR="009354F0" w:rsidRDefault="00F418F8">
            <w:pPr>
              <w:pStyle w:val="a"/>
              <w:tabs>
                <w:tab w:val="left" w:pos="851"/>
                <w:tab w:val="left" w:pos="1134"/>
              </w:tabs>
              <w:spacing w:after="0" w:line="360" w:lineRule="auto"/>
              <w:jc w:val="right"/>
              <w:rPr>
                <w:rFonts w:ascii="Times New Roman" w:eastAsia="Arial" w:hAnsi="Times New Roman" w:cs="Arial"/>
                <w:b/>
                <w:bCs/>
                <w:sz w:val="24"/>
                <w:szCs w:val="24"/>
                <w:lang w:eastAsia="el-GR"/>
              </w:rPr>
            </w:pPr>
            <w:r>
              <w:rPr>
                <w:rFonts w:ascii="Times New Roman" w:eastAsia="Arial" w:hAnsi="Times New Roman" w:cs="Arial"/>
                <w:b/>
                <w:bCs/>
                <w:sz w:val="24"/>
                <w:szCs w:val="24"/>
                <w:lang w:eastAsia="el-GR"/>
              </w:rPr>
              <w:t>Ο ΓΡΑΜΜΑΤΕΑΣ</w:t>
            </w:r>
          </w:p>
          <w:p w14:paraId="3C099EFD" w14:textId="77777777" w:rsidR="009354F0" w:rsidRDefault="009354F0">
            <w:pPr>
              <w:pStyle w:val="a"/>
              <w:tabs>
                <w:tab w:val="left" w:pos="851"/>
                <w:tab w:val="left" w:pos="1134"/>
              </w:tabs>
              <w:spacing w:after="0" w:line="360" w:lineRule="auto"/>
              <w:jc w:val="right"/>
              <w:rPr>
                <w:rFonts w:ascii="Times New Roman" w:eastAsia="Arial" w:hAnsi="Times New Roman" w:cs="Arial"/>
                <w:b/>
                <w:bCs/>
                <w:sz w:val="24"/>
                <w:szCs w:val="24"/>
                <w:lang w:eastAsia="el-GR"/>
              </w:rPr>
            </w:pPr>
          </w:p>
        </w:tc>
      </w:tr>
    </w:tbl>
    <w:p w14:paraId="24BC9C8E" w14:textId="77777777" w:rsidR="009354F0" w:rsidRDefault="00F418F8">
      <w:pPr>
        <w:pStyle w:val="a"/>
        <w:spacing w:after="0" w:line="360" w:lineRule="auto"/>
      </w:pPr>
      <w:r>
        <w:rPr>
          <w:rStyle w:val="a8"/>
          <w:rFonts w:ascii="Times New Roman" w:eastAsia="Arial" w:hAnsi="Times New Roman" w:cs="Arial"/>
          <w:sz w:val="24"/>
          <w:szCs w:val="24"/>
        </w:rPr>
        <w:t xml:space="preserve"> </w:t>
      </w:r>
    </w:p>
    <w:sectPr w:rsidR="009354F0">
      <w:headerReference w:type="even" r:id="rId6"/>
      <w:headerReference w:type="default" r:id="rId7"/>
      <w:footerReference w:type="even" r:id="rId8"/>
      <w:footerReference w:type="default" r:id="rId9"/>
      <w:pgSz w:w="11906" w:h="16838"/>
      <w:pgMar w:top="1325" w:right="1471" w:bottom="1701" w:left="1985"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0559" w14:textId="77777777" w:rsidR="00F418F8" w:rsidRDefault="00F418F8">
      <w:r>
        <w:separator/>
      </w:r>
    </w:p>
  </w:endnote>
  <w:endnote w:type="continuationSeparator" w:id="0">
    <w:p w14:paraId="31BE102C" w14:textId="77777777" w:rsidR="00F418F8" w:rsidRDefault="00F4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00"/>
    <w:family w:val="swiss"/>
    <w:pitch w:val="variable"/>
  </w:font>
  <w:font w:name="Droid Sans Fallback">
    <w:charset w:val="00"/>
    <w:family w:val="auto"/>
    <w:pitch w:val="variable"/>
  </w:font>
  <w:font w:name="DejaVu Sans">
    <w:charset w:val="00"/>
    <w:family w:val="swiss"/>
    <w:pitch w:val="variable"/>
  </w:font>
  <w:font w:name="Liberation Mono">
    <w:charset w:val="00"/>
    <w:family w:val="modern"/>
    <w:pitch w:val="fixed"/>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7DD4" w14:textId="77777777" w:rsidR="004A2595" w:rsidRDefault="00F418F8">
    <w:pPr>
      <w:pStyle w:val="Footer"/>
      <w:jc w:val="center"/>
    </w:pPr>
    <w:r>
      <w:rPr>
        <w:rStyle w:val="a8"/>
        <w:rFonts w:ascii="Arial" w:hAnsi="Arial" w:cs="Arial"/>
      </w:rPr>
      <w:fldChar w:fldCharType="begin"/>
    </w:r>
    <w:r>
      <w:rPr>
        <w:rStyle w:val="a8"/>
        <w:rFonts w:ascii="Arial" w:hAnsi="Arial" w:cs="Arial"/>
      </w:rPr>
      <w:instrText xml:space="preserve"> PAGE </w:instrText>
    </w:r>
    <w:r>
      <w:rPr>
        <w:rStyle w:val="a8"/>
        <w:rFonts w:ascii="Arial" w:hAnsi="Arial" w:cs="Arial"/>
      </w:rPr>
      <w:fldChar w:fldCharType="separate"/>
    </w:r>
    <w:r>
      <w:rPr>
        <w:rStyle w:val="a8"/>
        <w:rFonts w:ascii="Arial" w:hAnsi="Arial" w:cs="Arial"/>
      </w:rPr>
      <w:t>1</w:t>
    </w:r>
    <w:r>
      <w:rPr>
        <w:rStyle w:val="a8"/>
        <w:rFonts w:ascii="Arial" w:hAnsi="Arial" w:cs="Arial"/>
      </w:rPr>
      <w:t>4</w:t>
    </w:r>
    <w:r>
      <w:rPr>
        <w:rStyle w:val="a8"/>
        <w:rFonts w:ascii="Arial" w:hAnsi="Arial" w:cs="Arial"/>
      </w:rPr>
      <w:fldChar w:fldCharType="end"/>
    </w:r>
  </w:p>
  <w:p w14:paraId="4DFAF965" w14:textId="77777777" w:rsidR="004A2595" w:rsidRDefault="00F4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91EC" w14:textId="77777777" w:rsidR="004A2595" w:rsidRDefault="00F418F8">
    <w:pPr>
      <w:pStyle w:val="Footer"/>
      <w:jc w:val="center"/>
    </w:pPr>
    <w:r>
      <w:rPr>
        <w:rStyle w:val="a8"/>
        <w:rFonts w:ascii="Arial" w:hAnsi="Arial" w:cs="Arial"/>
      </w:rPr>
      <w:fldChar w:fldCharType="begin"/>
    </w:r>
    <w:r>
      <w:rPr>
        <w:rStyle w:val="a8"/>
        <w:rFonts w:ascii="Arial" w:hAnsi="Arial" w:cs="Arial"/>
      </w:rPr>
      <w:instrText xml:space="preserve"> PAGE </w:instrText>
    </w:r>
    <w:r>
      <w:rPr>
        <w:rStyle w:val="a8"/>
        <w:rFonts w:ascii="Arial" w:hAnsi="Arial" w:cs="Arial"/>
      </w:rPr>
      <w:fldChar w:fldCharType="separate"/>
    </w:r>
    <w:r>
      <w:rPr>
        <w:rStyle w:val="a8"/>
        <w:rFonts w:ascii="Arial" w:hAnsi="Arial" w:cs="Arial"/>
      </w:rPr>
      <w:t>1</w:t>
    </w:r>
    <w:r>
      <w:rPr>
        <w:rStyle w:val="a8"/>
        <w:rFonts w:ascii="Arial" w:hAnsi="Arial" w:cs="Arial"/>
      </w:rPr>
      <w:t>3</w:t>
    </w:r>
    <w:r>
      <w:rPr>
        <w:rStyle w:val="a8"/>
        <w:rFonts w:ascii="Arial" w:hAnsi="Arial" w:cs="Arial"/>
      </w:rPr>
      <w:fldChar w:fldCharType="end"/>
    </w:r>
  </w:p>
  <w:p w14:paraId="3B3003BF" w14:textId="77777777" w:rsidR="004A2595" w:rsidRDefault="00F4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7953" w14:textId="77777777" w:rsidR="00F418F8" w:rsidRDefault="00F418F8">
      <w:r>
        <w:rPr>
          <w:color w:val="000000"/>
        </w:rPr>
        <w:ptab w:relativeTo="margin" w:alignment="center" w:leader="none"/>
      </w:r>
    </w:p>
  </w:footnote>
  <w:footnote w:type="continuationSeparator" w:id="0">
    <w:p w14:paraId="728AD196" w14:textId="77777777" w:rsidR="00F418F8" w:rsidRDefault="00F4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5" w:type="dxa"/>
      <w:tblLayout w:type="fixed"/>
      <w:tblCellMar>
        <w:left w:w="10" w:type="dxa"/>
        <w:right w:w="10" w:type="dxa"/>
      </w:tblCellMar>
      <w:tblLook w:val="04A0" w:firstRow="1" w:lastRow="0" w:firstColumn="1" w:lastColumn="0" w:noHBand="0" w:noVBand="1"/>
    </w:tblPr>
    <w:tblGrid>
      <w:gridCol w:w="2645"/>
      <w:gridCol w:w="2645"/>
      <w:gridCol w:w="2645"/>
    </w:tblGrid>
    <w:tr w:rsidR="004A2595" w14:paraId="1261BB6E" w14:textId="77777777">
      <w:tblPrEx>
        <w:tblCellMar>
          <w:top w:w="0" w:type="dxa"/>
          <w:bottom w:w="0" w:type="dxa"/>
        </w:tblCellMar>
      </w:tblPrEx>
      <w:tc>
        <w:tcPr>
          <w:tcW w:w="2645" w:type="dxa"/>
          <w:tcMar>
            <w:top w:w="0" w:type="dxa"/>
            <w:left w:w="108" w:type="dxa"/>
            <w:bottom w:w="0" w:type="dxa"/>
            <w:right w:w="108" w:type="dxa"/>
          </w:tcMar>
        </w:tcPr>
        <w:p w14:paraId="70CA54B7" w14:textId="77777777" w:rsidR="004A2595" w:rsidRDefault="00F418F8">
          <w:pPr>
            <w:pStyle w:val="Header"/>
            <w:ind w:left="-115"/>
          </w:pPr>
        </w:p>
      </w:tc>
      <w:tc>
        <w:tcPr>
          <w:tcW w:w="2645" w:type="dxa"/>
          <w:tcMar>
            <w:top w:w="0" w:type="dxa"/>
            <w:left w:w="108" w:type="dxa"/>
            <w:bottom w:w="0" w:type="dxa"/>
            <w:right w:w="108" w:type="dxa"/>
          </w:tcMar>
        </w:tcPr>
        <w:p w14:paraId="1D20D7BC" w14:textId="77777777" w:rsidR="004A2595" w:rsidRDefault="00F418F8">
          <w:pPr>
            <w:pStyle w:val="Header"/>
            <w:jc w:val="center"/>
          </w:pPr>
        </w:p>
      </w:tc>
      <w:tc>
        <w:tcPr>
          <w:tcW w:w="2645" w:type="dxa"/>
          <w:tcMar>
            <w:top w:w="0" w:type="dxa"/>
            <w:left w:w="108" w:type="dxa"/>
            <w:bottom w:w="0" w:type="dxa"/>
            <w:right w:w="108" w:type="dxa"/>
          </w:tcMar>
        </w:tcPr>
        <w:p w14:paraId="10010677" w14:textId="77777777" w:rsidR="004A2595" w:rsidRDefault="00F418F8">
          <w:pPr>
            <w:pStyle w:val="Header"/>
            <w:ind w:right="-115"/>
            <w:jc w:val="right"/>
          </w:pPr>
        </w:p>
      </w:tc>
    </w:tr>
  </w:tbl>
  <w:p w14:paraId="4A602747" w14:textId="77777777" w:rsidR="004A2595" w:rsidRDefault="00F4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F1E8" w14:textId="77777777" w:rsidR="004A2595" w:rsidRDefault="00F41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354F0"/>
    <w:rsid w:val="009354F0"/>
    <w:rsid w:val="00CD6429"/>
    <w:rsid w:val="00F4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0937"/>
  <w15:docId w15:val="{FFAC9B7B-15C7-4908-8EF9-A2239CB4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a">
    <w:name w:val="Βασικό"/>
    <w:pPr>
      <w:spacing w:after="200" w:line="276" w:lineRule="auto"/>
    </w:pPr>
    <w:rPr>
      <w:sz w:val="22"/>
      <w:szCs w:val="22"/>
      <w:lang w:eastAsia="en-US"/>
    </w:rPr>
  </w:style>
  <w:style w:type="paragraph" w:styleId="Header">
    <w:name w:val="header"/>
    <w:basedOn w:val="a"/>
    <w:pPr>
      <w:tabs>
        <w:tab w:val="center" w:pos="4153"/>
        <w:tab w:val="right" w:pos="8306"/>
      </w:tabs>
      <w:spacing w:after="0" w:line="240" w:lineRule="auto"/>
    </w:pPr>
    <w:rPr>
      <w:rFonts w:eastAsia="SimSun"/>
      <w:lang w:eastAsia="zh-CN"/>
    </w:rPr>
  </w:style>
  <w:style w:type="paragraph" w:styleId="Footer">
    <w:name w:val="footer"/>
    <w:basedOn w:val="a"/>
    <w:pPr>
      <w:tabs>
        <w:tab w:val="center" w:pos="4153"/>
        <w:tab w:val="right" w:pos="8306"/>
      </w:tabs>
      <w:spacing w:after="0" w:line="240" w:lineRule="auto"/>
    </w:pPr>
    <w:rPr>
      <w:rFonts w:eastAsia="SimSun"/>
      <w:lang w:eastAsia="zh-CN"/>
    </w:rPr>
  </w:style>
  <w:style w:type="paragraph" w:customStyle="1" w:styleId="a2">
    <w:name w:val="a2"/>
    <w:basedOn w:val="a"/>
    <w:pPr>
      <w:spacing w:before="100" w:after="100" w:line="240" w:lineRule="auto"/>
      <w:jc w:val="both"/>
    </w:pPr>
    <w:rPr>
      <w:rFonts w:ascii="Times New Roman" w:eastAsia="Times New Roman" w:hAnsi="Times New Roman"/>
      <w:sz w:val="24"/>
      <w:szCs w:val="24"/>
      <w:lang w:eastAsia="el-GR"/>
    </w:rPr>
  </w:style>
  <w:style w:type="paragraph" w:customStyle="1" w:styleId="a0">
    <w:name w:val="Κείμενο πλαισίου"/>
    <w:basedOn w:val="a"/>
    <w:pPr>
      <w:spacing w:after="0" w:line="240" w:lineRule="auto"/>
    </w:pPr>
    <w:rPr>
      <w:rFonts w:ascii="Arial" w:eastAsia="Arial" w:hAnsi="Arial" w:cs="Arial"/>
      <w:sz w:val="16"/>
      <w:szCs w:val="16"/>
    </w:rPr>
  </w:style>
  <w:style w:type="paragraph" w:customStyle="1" w:styleId="-HTML">
    <w:name w:val="Προ-διαμορφωμένο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a1">
    <w:name w:val="Σώμα κείμενου με εσοχή"/>
    <w:basedOn w:val="a"/>
    <w:pPr>
      <w:spacing w:after="120"/>
      <w:ind w:left="283"/>
    </w:pPr>
  </w:style>
  <w:style w:type="paragraph" w:customStyle="1" w:styleId="DEFAULTSTYLE">
    <w:name w:val="DEFAULT STYLE"/>
    <w:basedOn w:val="a"/>
    <w:pPr>
      <w:spacing w:after="0" w:line="360" w:lineRule="auto"/>
      <w:jc w:val="both"/>
    </w:pPr>
    <w:rPr>
      <w:rFonts w:ascii="Arial" w:eastAsia="Arial" w:hAnsi="Arial" w:cs="Arial"/>
      <w:sz w:val="24"/>
      <w:szCs w:val="24"/>
      <w:lang w:eastAsia="el-GR"/>
    </w:rPr>
  </w:style>
  <w:style w:type="paragraph" w:customStyle="1" w:styleId="a3">
    <w:name w:val="Παράγραφος λίστας"/>
    <w:basedOn w:val="a"/>
    <w:pPr>
      <w:ind w:left="720"/>
    </w:pPr>
    <w:rPr>
      <w:rFonts w:eastAsia="SimSun"/>
      <w:lang w:eastAsia="zh-CN"/>
    </w:rPr>
  </w:style>
  <w:style w:type="paragraph" w:customStyle="1" w:styleId="a00">
    <w:name w:val="a0"/>
    <w:basedOn w:val="a"/>
    <w:pPr>
      <w:spacing w:before="100" w:after="100" w:line="240" w:lineRule="auto"/>
      <w:jc w:val="both"/>
    </w:pPr>
    <w:rPr>
      <w:rFonts w:ascii="Times New Roman" w:eastAsia="Times New Roman" w:hAnsi="Times New Roman"/>
      <w:sz w:val="24"/>
      <w:szCs w:val="24"/>
      <w:lang w:eastAsia="zh-CN"/>
    </w:rPr>
  </w:style>
  <w:style w:type="paragraph" w:customStyle="1" w:styleId="a4">
    <w:name w:val="Κείμενο σχολίου"/>
    <w:basedOn w:val="a"/>
    <w:autoRedefine/>
    <w:pPr>
      <w:jc w:val="right"/>
    </w:pPr>
    <w:rPr>
      <w:sz w:val="28"/>
      <w:szCs w:val="20"/>
    </w:rPr>
  </w:style>
  <w:style w:type="paragraph" w:customStyle="1" w:styleId="a5">
    <w:name w:val="Θέμα σχολίου"/>
    <w:basedOn w:val="a4"/>
    <w:next w:val="a4"/>
    <w:rPr>
      <w:b/>
      <w:bCs/>
    </w:rPr>
  </w:style>
  <w:style w:type="paragraph" w:customStyle="1" w:styleId="a6">
    <w:name w:val="Αναθεώρηση"/>
    <w:rPr>
      <w:sz w:val="22"/>
      <w:szCs w:val="22"/>
      <w:lang w:eastAsia="en-US"/>
    </w:rPr>
  </w:style>
  <w:style w:type="paragraph" w:customStyle="1" w:styleId="Web">
    <w:name w:val="Κανονικό (Web)"/>
    <w:basedOn w:val="a"/>
    <w:pPr>
      <w:spacing w:before="100" w:after="100" w:line="240" w:lineRule="auto"/>
    </w:pPr>
    <w:rPr>
      <w:rFonts w:ascii="Times New Roman" w:eastAsia="Times New Roman" w:hAnsi="Times New Roman"/>
      <w:sz w:val="24"/>
      <w:szCs w:val="24"/>
      <w:lang w:eastAsia="el-GR"/>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120"/>
    </w:pPr>
    <w:rPr>
      <w:rFonts w:ascii="Liberation Sans" w:eastAsia="Droid Sans Fallback" w:hAnsi="Liberation Sans" w:cs="DejaVu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customStyle="1" w:styleId="a7">
    <w:name w:val="Λεζάντα"/>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Droid Sans Fallback" w:hAnsi="Liberation Mono" w:cs="Liberation Mono"/>
    </w:rPr>
  </w:style>
  <w:style w:type="character" w:customStyle="1" w:styleId="a8">
    <w:name w:val="Προεπιλεγμένη γραμματοσειρά"/>
  </w:style>
  <w:style w:type="character" w:customStyle="1" w:styleId="Char">
    <w:name w:val="Κεφαλίδα Char"/>
    <w:rPr>
      <w:rFonts w:ascii="Calibri" w:eastAsia="SimSun" w:hAnsi="Calibri" w:cs="Times New Roman"/>
      <w:lang w:eastAsia="zh-CN"/>
    </w:rPr>
  </w:style>
  <w:style w:type="character" w:customStyle="1" w:styleId="Char0">
    <w:name w:val="Υποσέλιδο Char"/>
    <w:rPr>
      <w:rFonts w:ascii="Calibri" w:eastAsia="SimSun" w:hAnsi="Calibri" w:cs="Times New Roman"/>
      <w:lang w:eastAsia="zh-CN"/>
    </w:rPr>
  </w:style>
  <w:style w:type="character" w:customStyle="1" w:styleId="f11">
    <w:name w:val="f11"/>
    <w:rPr>
      <w:rFonts w:ascii="Arial" w:eastAsia="Arial" w:hAnsi="Arial" w:cs="Arial"/>
      <w:color w:val="000000"/>
      <w:sz w:val="20"/>
      <w:szCs w:val="20"/>
    </w:rPr>
  </w:style>
  <w:style w:type="character" w:customStyle="1" w:styleId="f01">
    <w:name w:val="f01"/>
    <w:rPr>
      <w:rFonts w:ascii="Arial" w:eastAsia="Arial" w:hAnsi="Arial" w:cs="Arial"/>
      <w:color w:val="000000"/>
      <w:sz w:val="20"/>
      <w:szCs w:val="20"/>
    </w:rPr>
  </w:style>
  <w:style w:type="character" w:customStyle="1" w:styleId="Char1">
    <w:name w:val="Κείμενο πλαισίου Char"/>
    <w:rPr>
      <w:rFonts w:ascii="Arial" w:eastAsia="Arial" w:hAnsi="Arial" w:cs="Arial"/>
      <w:sz w:val="16"/>
      <w:szCs w:val="16"/>
      <w:lang w:eastAsia="en-US"/>
    </w:rPr>
  </w:style>
  <w:style w:type="character" w:customStyle="1" w:styleId="-HTMLChar">
    <w:name w:val="Προ-διαμορφωμένο HTML Char"/>
    <w:rPr>
      <w:rFonts w:ascii="Courier New" w:eastAsia="Times New Roman" w:hAnsi="Courier New" w:cs="Courier New"/>
    </w:rPr>
  </w:style>
  <w:style w:type="character" w:customStyle="1" w:styleId="Char2">
    <w:name w:val="Σώμα κείμενου με εσοχή Char"/>
    <w:rPr>
      <w:sz w:val="22"/>
      <w:szCs w:val="22"/>
      <w:lang w:eastAsia="en-US"/>
    </w:rPr>
  </w:style>
  <w:style w:type="character" w:customStyle="1" w:styleId="DEFAULTSTYLEChar">
    <w:name w:val="DEFAULT STYLE Char"/>
    <w:rPr>
      <w:rFonts w:ascii="Arial" w:eastAsia="Arial" w:hAnsi="Arial" w:cs="Arial"/>
      <w:sz w:val="24"/>
      <w:szCs w:val="24"/>
      <w:lang w:eastAsia="el-GR"/>
    </w:rPr>
  </w:style>
  <w:style w:type="character" w:customStyle="1" w:styleId="f31">
    <w:name w:val="f31"/>
    <w:rPr>
      <w:rFonts w:ascii="Times New Roman" w:eastAsia="Times New Roman" w:hAnsi="Times New Roman" w:cs="Times New Roman"/>
      <w:sz w:val="28"/>
      <w:szCs w:val="28"/>
    </w:rPr>
  </w:style>
  <w:style w:type="character" w:customStyle="1" w:styleId="f21">
    <w:name w:val="f21"/>
    <w:rPr>
      <w:rFonts w:ascii="Arial" w:eastAsia="Arial" w:hAnsi="Arial" w:cs="Arial"/>
      <w:color w:val="000000"/>
      <w:sz w:val="24"/>
      <w:szCs w:val="24"/>
    </w:rPr>
  </w:style>
  <w:style w:type="character" w:customStyle="1" w:styleId="a9">
    <w:name w:val="Παραπομπή σχολίου"/>
    <w:rPr>
      <w:sz w:val="16"/>
      <w:szCs w:val="16"/>
    </w:rPr>
  </w:style>
  <w:style w:type="character" w:customStyle="1" w:styleId="Char3">
    <w:name w:val="Κείμενο σχολίου Char"/>
    <w:rPr>
      <w:sz w:val="28"/>
      <w:lang w:eastAsia="en-US"/>
    </w:rPr>
  </w:style>
  <w:style w:type="character" w:customStyle="1" w:styleId="Char4">
    <w:name w:val="Θέμα σχολίου Char"/>
    <w:rPr>
      <w:b/>
      <w:bCs/>
      <w:sz w:val="28"/>
      <w:lang w:eastAsia="en-US"/>
    </w:rPr>
  </w:style>
  <w:style w:type="character" w:customStyle="1" w:styleId="aa">
    <w:name w:val="Διακριτική έμφαση"/>
    <w:rPr>
      <w:i/>
      <w:iCs/>
      <w:color w:val="808080"/>
    </w:rPr>
  </w:style>
  <w:style w:type="character" w:customStyle="1" w:styleId="-">
    <w:name w:val="Υπερ-σύνδεση"/>
    <w:rPr>
      <w:color w:val="auto"/>
      <w:u w:val="none"/>
    </w:rPr>
  </w:style>
  <w:style w:type="character" w:customStyle="1" w:styleId="highlight1">
    <w:name w:val="highlight1"/>
    <w:basedOn w:val="a8"/>
  </w:style>
  <w:style w:type="character" w:customStyle="1" w:styleId="ab">
    <w:name w:val="Ανεπίλυτη αναφορά"/>
    <w:basedOn w:val="a8"/>
    <w:rPr>
      <w:color w:val="808080"/>
      <w:shd w:val="clear" w:color="auto" w:fill="E6E6E6"/>
    </w:rPr>
  </w:style>
  <w:style w:type="character" w:customStyle="1" w:styleId="Internetlink">
    <w:name w:val="Internet link"/>
    <w:rPr>
      <w:color w:val="000080"/>
      <w:u w:val="single"/>
    </w:rPr>
  </w:style>
  <w:style w:type="character" w:customStyle="1" w:styleId="NumberingSymbols">
    <w:name w:val="Numbering Symbols"/>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923;&#942;&#968;&#949;&#953;&#962;/A1806-2021.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4848</Words>
  <Characters>26183</Characters>
  <Application>Microsoft Office Word</Application>
  <DocSecurity>0</DocSecurity>
  <Lines>218</Lines>
  <Paragraphs>61</Paragraphs>
  <ScaleCrop>false</ScaleCrop>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Enikos S.A.</cp:lastModifiedBy>
  <cp:revision>2</cp:revision>
  <cp:lastPrinted>2021-02-15T10:37:00Z</cp:lastPrinted>
  <dcterms:created xsi:type="dcterms:W3CDTF">2021-05-20T15:39:00Z</dcterms:created>
  <dcterms:modified xsi:type="dcterms:W3CDTF">2021-05-20T15:39:00Z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A1806-2021.odt</vt:lpwstr>
  </property>
  <property fmtid="{D5CDD505-2E9C-101B-9397-08002B2CF9AE}" pid="3" name="UploadUrl">
    <vt:lpwstr>http://10.197.0.216:7003/osddydd/documentUploader</vt:lpwstr>
  </property>
</Properties>
</file>