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43" w:rsidRPr="006B271E" w:rsidRDefault="00537C43" w:rsidP="006B271E">
      <w:pPr>
        <w:pStyle w:val="ab"/>
        <w:spacing w:line="276" w:lineRule="auto"/>
        <w:jc w:val="both"/>
        <w:rPr>
          <w:rFonts w:asciiTheme="minorHAnsi" w:hAnsiTheme="minorHAnsi"/>
          <w:i/>
        </w:rPr>
      </w:pPr>
      <w:bookmarkStart w:id="0" w:name="_GoBack"/>
      <w:bookmarkEnd w:id="0"/>
    </w:p>
    <w:p w:rsidR="006C4B37" w:rsidRPr="006B271E" w:rsidRDefault="006C4B37" w:rsidP="006C4B37">
      <w:pPr>
        <w:pStyle w:val="ab"/>
        <w:spacing w:line="276" w:lineRule="auto"/>
        <w:jc w:val="both"/>
        <w:rPr>
          <w:rFonts w:asciiTheme="minorHAnsi" w:hAnsiTheme="minorHAnsi"/>
          <w:b/>
          <w:smallCaps/>
        </w:rPr>
      </w:pPr>
      <w:r>
        <w:rPr>
          <w:rFonts w:asciiTheme="minorHAnsi" w:hAnsiTheme="minorHAnsi"/>
          <w:b/>
        </w:rPr>
        <w:t>Αιτιολογική Έκθεση για το Σχέδιο Νόμου «</w:t>
      </w:r>
      <w:r w:rsidRPr="006B271E">
        <w:rPr>
          <w:rFonts w:asciiTheme="minorHAnsi" w:hAnsiTheme="minorHAnsi"/>
          <w:b/>
        </w:rPr>
        <w:t>ΚΥΡΩΣΗ ΤΗΣ ΣΥΜΒΑΣΗΣ ΠΑΡΑΧΩΡΗΣΗΣ ΤΟΥ ΑΠΟΚΛΕΙΣΤΙΚΟΥ ΔΙΚΑΙΩΜΑΤΟΣ ΔΙΟΡΓΑΝΩΣΗΣ ΚΑΙ ΔΙΕΞΑΓΩΓΗΣ ΑΜΟΙΒΑΙΟΥ ΣΤΟΙΧΗΜΑΤΟΣ ΕΠΙ ΙΠΠΟΔΡΟΜΙΩΝ ΣΤΗΝ</w:t>
      </w:r>
      <w:r>
        <w:rPr>
          <w:rFonts w:asciiTheme="minorHAnsi" w:hAnsiTheme="minorHAnsi"/>
          <w:b/>
        </w:rPr>
        <w:t xml:space="preserve"> ΕΛΛΑΔΑ ΓΙΑ ΠΕΡΙΟΔΟ ΕΙΚΟΣΙ ΕΤΩΝ</w:t>
      </w:r>
      <w:r w:rsidR="00BB2486" w:rsidRPr="00BB2486">
        <w:rPr>
          <w:rFonts w:asciiTheme="minorHAnsi" w:hAnsiTheme="minorHAnsi"/>
          <w:b/>
        </w:rPr>
        <w:t xml:space="preserve"> </w:t>
      </w:r>
      <w:r w:rsidR="00BB2486">
        <w:rPr>
          <w:rFonts w:asciiTheme="minorHAnsi" w:hAnsiTheme="minorHAnsi"/>
          <w:b/>
        </w:rPr>
        <w:t>ΚΑΙ ΑΛΛΕΣ ΔΙΑΤΑΞΕΙΣ</w:t>
      </w:r>
      <w:r>
        <w:rPr>
          <w:rFonts w:asciiTheme="minorHAnsi" w:hAnsiTheme="minorHAnsi"/>
          <w:b/>
        </w:rPr>
        <w:t>».</w:t>
      </w:r>
    </w:p>
    <w:p w:rsidR="00E66A8A" w:rsidRPr="006C4B37" w:rsidRDefault="00E66A8A" w:rsidP="00E66A8A">
      <w:pPr>
        <w:spacing w:line="360" w:lineRule="auto"/>
        <w:ind w:left="567"/>
        <w:jc w:val="both"/>
        <w:rPr>
          <w:b/>
        </w:rPr>
      </w:pPr>
    </w:p>
    <w:p w:rsidR="00537C43" w:rsidRPr="006B271E" w:rsidRDefault="00537C43" w:rsidP="006B271E">
      <w:pPr>
        <w:pStyle w:val="ab"/>
        <w:spacing w:line="276" w:lineRule="auto"/>
        <w:jc w:val="both"/>
        <w:rPr>
          <w:rFonts w:asciiTheme="minorHAnsi" w:hAnsiTheme="minorHAnsi"/>
          <w:smallCaps/>
        </w:rPr>
      </w:pP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Με το παρόν σχέδιο νόμου κυρώνεται και αποκτά ισχύ νόμου η Σύμβαση Παραχώρησης που αφορά στο αποκλειστικό δικαίωμα διοργάνωσης και διεξαγωγής αμοιβαίου ιπποδρομιακού στοιχήματος επί ιπποδρομιών στην Ελλάδα για περίοδο είκοσι ετών. Επίσης, προβλέπεται ειδική διαδικασία με βάση την οποία θα διεξαχθεί η εκκαθάριση της εταιρία «ΟΡΓΑΝΙΣΜΟΣ ΔΙΕΞΑΓΩΓΗΣ ΙΠΠΟΔΡΟΜΙΩΝ ΕΛΛΑΔΟΣ Α.Ε.» (εφεξής ΟΔΙΕ), η οποία μέχρι πρότινος ήταν ο φορέας του συγκεκριμένου δικαιώματος και η οποία πρόκειται να λυθεί και να εκκαθαρισθεί.</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Η Σύμβαση Παραχώρησης υπογράφηκε μεταξύ, αφενός, της ανώνυμης εταιρείας με την επωνυμία «Ταμείο Αξιοποίησης Ιδιωτικής Περιουσίας του Δημοσίου Α.Ε.» (εφεξής ΤΑΙΠΕΔ), η οποία σύμφωνα με τον ν. 3986/2011 (Α΄152) είναι εταιρεία που ανήκει εξ ολοκλήρου στο Ελληνικό Δημόσιο και λειτουργεί για την εξυπηρέτηση του δημοσίου συμφέροντος, και, αφετέρου, της ανώνυμης εταιρείας με την επωνυμία «ΙΠΠΟΔΡΟΜΙΕΣ Α.Ε.» είναι η εταιρεία ειδικού σκοπού που συστάθηκε από την εταιρία «</w:t>
      </w:r>
      <w:r w:rsidRPr="006B271E">
        <w:rPr>
          <w:rFonts w:asciiTheme="minorHAnsi" w:hAnsiTheme="minorHAnsi"/>
          <w:lang w:val="en-US"/>
        </w:rPr>
        <w:t>OPAP</w:t>
      </w:r>
      <w:r w:rsidRPr="006B271E">
        <w:rPr>
          <w:rFonts w:asciiTheme="minorHAnsi" w:hAnsiTheme="minorHAnsi"/>
        </w:rPr>
        <w:t xml:space="preserve"> </w:t>
      </w:r>
      <w:r w:rsidRPr="006B271E">
        <w:rPr>
          <w:rFonts w:asciiTheme="minorHAnsi" w:hAnsiTheme="minorHAnsi"/>
          <w:lang w:val="en-US"/>
        </w:rPr>
        <w:t>Investment</w:t>
      </w:r>
      <w:r w:rsidRPr="006B271E">
        <w:rPr>
          <w:rFonts w:asciiTheme="minorHAnsi" w:hAnsiTheme="minorHAnsi"/>
        </w:rPr>
        <w:t xml:space="preserve"> </w:t>
      </w:r>
      <w:r w:rsidRPr="006B271E">
        <w:rPr>
          <w:rFonts w:asciiTheme="minorHAnsi" w:hAnsiTheme="minorHAnsi"/>
          <w:lang w:val="en-US"/>
        </w:rPr>
        <w:t>Ltd</w:t>
      </w:r>
      <w:r w:rsidRPr="006B271E">
        <w:rPr>
          <w:rFonts w:asciiTheme="minorHAnsi" w:hAnsiTheme="minorHAnsi"/>
        </w:rPr>
        <w:t>» που αναδείχθηκε πλειοδότρια στη διαγωνιστική διαδικασία που διεξήγαγε το ΤΑΙΠΕΔ για την παραχώρηση του αποκλειστικού δικαιώματος διεξαγωγής ιπποδρομιών και αμοιβαίου ιπποδρομιακού στοιχήματος.</w:t>
      </w:r>
    </w:p>
    <w:p w:rsidR="006B271E" w:rsidRDefault="006B271E" w:rsidP="006B271E">
      <w:pPr>
        <w:pStyle w:val="ab"/>
        <w:spacing w:line="276" w:lineRule="auto"/>
        <w:jc w:val="both"/>
        <w:rPr>
          <w:rFonts w:asciiTheme="minorHAnsi" w:hAnsiTheme="minorHAnsi"/>
          <w:b/>
          <w:i/>
          <w:u w:val="single"/>
        </w:rPr>
      </w:pPr>
    </w:p>
    <w:p w:rsidR="00537C43" w:rsidRPr="006B271E" w:rsidRDefault="00537C43" w:rsidP="006B271E">
      <w:pPr>
        <w:pStyle w:val="ab"/>
        <w:spacing w:line="276" w:lineRule="auto"/>
        <w:jc w:val="both"/>
        <w:rPr>
          <w:rFonts w:asciiTheme="minorHAnsi" w:hAnsiTheme="minorHAnsi"/>
          <w:b/>
          <w:i/>
          <w:u w:val="single"/>
        </w:rPr>
      </w:pPr>
      <w:r w:rsidRPr="006B271E">
        <w:rPr>
          <w:rFonts w:asciiTheme="minorHAnsi" w:hAnsiTheme="minorHAnsi"/>
          <w:b/>
          <w:i/>
          <w:u w:val="single"/>
        </w:rPr>
        <w:t>Α. ΤΟ ΝΟΜΟΘΕΤΙΚΟ ΠΛΑΙΣΙΟ ΤΗΣ ΠΑΡΑΧΩΡΗΣΗΣ</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Με την παράγραφο 7 του άρθρου 13 του ν. 4111/2013 προβλέφθηκε η κατάργηση του δικαιώματος του ΟΔΙΕ να διεξάγει την προβλεπόμενη στο άρθρο 2 του α.ν. 598/1968 και στο άρθρο 2 του π.δ. 56/1999 και προβλέφθηκε η δυνατότητα παραχώρησης μέσω διεθνούς πλειοδοτικού διαγωνισμού των εξής δικαιωμάτων: (α) το μη αποκλειστικό δικαίωμα οργανώσεως και διεξαγωγής ιπποδρομιών στην Ελλάδα (β) το αποκλειστικό δικαίωμα διοργανώσεως και διεξαγωγής αμοιβαίων σε σχέση με τις διεξαγόμενες εντός της Ελληνικής Επικράτειας ιπποδρομίες στοιχημάτων, λαχειοφόρων ή μη εντός και εκτός του χώρου των ιπποδρομιών (γ) το αποκλειστικό δικαίωμα ανάληψης δραστηριοτήτων συναφών προς τα ιπποδρομικά στοιχήματα σε εθνικό και διεθνές επίπεδο, συμπεριλαμβανομένης της διοργάνωσης, διεξαγωγής και εκμετάλλευσης αμοιβαίων στοιχημάτων για αλλοδαπές ιπποδρομίες ή της συμμετοχής στη διοργάνωση, διεξαγωγή και εκμετάλλευση αλλοδαπών αμοιβαίων στοιχημάτων επί ιπποδρομιών (δ) το αποκλειστικό δικαίωμα διοργανώσεως και διεξαγωγής προσθέτου αμοιβαίου στοιχήματος επί ιπποδρομιών (sweepstake) (ε) το αποκλειστικό δικαίωμα διοργανώσεως και διεξαγωγής αμοιβαίων στοιχημάτων επί ιπποδρομιών που διενεργούνται μέσω διαδικτύου. Στον ΟΔΙΕ επετράπη προσωρινά να συνεχίσει να ασκεί τη δραστηριότητά του μέχρι τη θέση της σύμβασης παραχώρησης σε ισχύ, οπότε και θα τεθεί σε λύση και εκκαθάριση.</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Περαιτέρω, δυνάμει της υπ’ αριθμ. 229/26.02.2013 απόφασης της Διυπουργικής Επιτροπής Αναδιαρθρώσεων και Αποκρατικοποιήσεων (Β’ 464/26.02.2013) μεταβιβάστηκε στο ΤΑΙΠΕΔ, κατά τις διατάξεις του ν. 3986/2011, το δικαίωμα κατάρτισης της ανωτέρω σύμβασης.</w:t>
      </w:r>
    </w:p>
    <w:p w:rsidR="006B271E" w:rsidRDefault="006B271E" w:rsidP="006B271E">
      <w:pPr>
        <w:pStyle w:val="ab"/>
        <w:spacing w:line="276" w:lineRule="auto"/>
        <w:jc w:val="both"/>
        <w:rPr>
          <w:rFonts w:asciiTheme="minorHAnsi" w:hAnsiTheme="minorHAnsi"/>
          <w:b/>
          <w:i/>
          <w:u w:val="single"/>
        </w:rPr>
      </w:pPr>
    </w:p>
    <w:p w:rsidR="00537C43" w:rsidRPr="006B271E" w:rsidRDefault="00537C43" w:rsidP="006B271E">
      <w:pPr>
        <w:pStyle w:val="ab"/>
        <w:spacing w:line="276" w:lineRule="auto"/>
        <w:jc w:val="both"/>
        <w:rPr>
          <w:rFonts w:asciiTheme="minorHAnsi" w:hAnsiTheme="minorHAnsi"/>
          <w:b/>
          <w:i/>
          <w:u w:val="single"/>
        </w:rPr>
      </w:pPr>
      <w:r w:rsidRPr="006B271E">
        <w:rPr>
          <w:rFonts w:asciiTheme="minorHAnsi" w:hAnsiTheme="minorHAnsi"/>
          <w:b/>
          <w:i/>
          <w:u w:val="single"/>
        </w:rPr>
        <w:t>Β. Η ΔΙΑΔΙΚΑΣΙΑ ΤΟΥ ΔΙΑΓΩΝΙΣΜΟΥ</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lastRenderedPageBreak/>
        <w:t>Την 01.03.2013 προκηρύχθηκε από το ΤΑΙΠΕΔ διεθνής πλειοδοτικός διαγωνισμός για την παραχώρηση του περιγραφόμενου στο άρθρο 13 παρ. 9 του Ν. 4111/2013 δικαιώματος, το οποίο συνίσταται στο δικαίωμα διεξαγωγής ιπποδρομιών και στο δικαίωμα διεξαγωγής αμοιβαίου ιπποδρομιακού στοιχήματος. Ο διαγωνισμός επρόκειτο να διεξαχθεί σε δύο φάσεις: Η πρώτη φάση περιελάμβανε το στάδιο προεπιλογής, στο οποίο ενδιαφερόμενα μέρη θα είχαν τη δυνατότητα να εκδηλώσουν το μη δεσμευτικό ενδιαφέρον τους για συμμετοχή στο διαγωνισμό. Τα ενδιαφερόμενα μέρη θα έπρεπε να αποδείξουν ότι πληρούσαν τα οικονομικά, τεχνικά και νομικά κριτήρια προεπιλογής τα οποία ορίζονταν στην Πρόσκληση Υποβολής Εκδήλωσης Ενδιαφέροντος. Κατόπιν τούτου, θα προκρίνονταν στη δεύτερη φάση του διαγωνισμού, όπου θα είχαν τη δυνατότητα να αποκτήσουν πρόσβαση σε μια ηλεκτρονική βάση δεδομένων, όπου θα αναρτόνταν πληροφορίες και στοιχεία σχετικά με την ιπποδρομιακή δραστηριότητα, και να υποβάλουν μη δεσμευτικά σχόλια επί του σχεδίου Σύμβασης Παραχώρησης.</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Στις 26.04.2013 δύο συμμετέχοντες εξεδήλωσαν το ενδιαφέρον τους:  (i) Η σύμπραξη εταιριών με την επωνυμία 2PU, η οποία αποτελείτο από τις εταιρίες Pari Mutuel Urbain (PMU-France) και Phumelela Gaming and Leisure (PGL-South Africa) και (ii) η ένωση προσώπων Intralot (SPV 1) Limited και Intralot (SPV 2) Limited, αμφότερες 100% θυγατρικές της εταιρίας Intralot Holdings Limited, η οποία με τη σειρά της είναι 100% θυγατρική της Intralot ΑΕ (Ελλάς).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Αμφότεροι οι διαγωνιζόμενοι κρίθηκε ότι πληρούσαν τα κριτήρια προεπιλογής και με την από 16.05.2013 απόφαση του ΔΣ του ΤΑΙΠΕΔ προκρίθηκαν στη δεύτερη φάση της διαγωνιστικής διαδικασίας. Στο πλαίσιο αυτό, αμφότεροι άσκησαν νομικό και τεχνικό έλεγχο επί της πωλούμενης δραστηριότητας και υπέβαλαν σχόλια και παρατηρήσεις επί του σχεδίου Σύμβασης Παραχώρησης.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Στις συνεδριάσεις της 13.02.2014 και της 02.07.2014 το ΔΣ του ΤΑΙΠΕΔ ενέκρινε το τελικό σχέδιο της Σύμβασης Παραχώρησης επί του οποίου οι διαγωνιζόμενοι κλήθηκαν να υποβάλουν οικονομικές προσφορές με καταληκτική ημερομηνία την 31.07.2014.</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Στις 31.07.2014 υποβλήθηκε προσφορά μόνο από την ένωση προσώπων Intralot (SPV 1) Limited και Intralot (SPV 2) Limited. Η προσφορά αποσφραγίστηκε στη συνεδρίαση του ΔΣ του ΤΑΙΠΕΔ της 08.08.2014, παρουσία και του Συμβουλίου Εμπειρογνωμόνων. Το προσφερόμενο τίμημα κρίθηκε μη ικανοποιητικό και ζητήθηκε η βελτίωσή του, Στη συνεδρίαση της 20.08.2014. Ως καταληκτική ημερομηνία υποβολής της βελτιωμένης προσφοράς ορίστηκε η 27η.08.2014.</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Στις 27.08.2014 η διαγωνιζομένη υπέβαλε την βελτιωμένη προσφορά, η οποία ωστόσο κρίθηκε μη ικανοποιητική. Για τον λόγο αυτό, το ΔΣ του ΤΑΙΠΕΔ στη συνεδρίαση της 27.08.2014 αποφάσισε να κηρύξει το διαγωνισμό άγονο, προχωρώντας ταυτόχρονα στην επαναπροκήρυξή του. </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Το ΤΑΙΠΕΔ προχώρησε στην επαναπροκήρυξή του, δημοσιεύοντας την από 29.08.2014 Πρόσκληση Υποβολής Προσφορών. Ο διαγωνισμός θα διεξαγόταν σε μια φάση, χωρίς διαπραγμάτευση της Σύμβασης και οι ενδιαφερόμενοι κλήθηκαν να καταθέσουν προσφορές με καταληκτική ημερομηνία την 19.09.2014. Την 19.09.2014 υπέβαλαν προσφορές: (i) Η ένωση προσώπων αποτελούμενη από τις Intralot (SPV 1) Limited και Intralot (SPV 2) Limited, αμφότερες 100% θυγατρικές της εταιρίας Intralot Holdings Limited, η οποία με τη σειρά της είναι 100% θυγατρική της Intralot ΑΕ (Ελλάς) και (ii) η εταιρία OPAP Investment Limited, 100% θυγατρική της ΟΠΑΠ ΑΕ.</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Ακολούθως, οι σύμβουλοι του ΤΑΙΠΕΔ εξέτασαν τον φάκελο Α’ των υποβληθεισών προσφορών, εκτίμησαν την καταρχήν πληρότητά τους και ειδοποίησαν τους δυο συμμετέχοντες να παρευρεθούν στη συνεδρίαση του ΔΣ του ΤΑΙΠΕΔ, όπου θα ελάμβανε χώρα η αποσφράγιση του φακέλου Β’ των προσφορών τους.</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 xml:space="preserve">Στη συνεδρίαση του ΔΣ του ΤΑΙΠΕΔ της 23.09.2014, παρουσία και του Συμβουλίου Εμπειρογνωμόνων, καταρχήν επιβεβαιώθηκε και εγκρίθηκε η ήδη σιωπηρώς γενομένη αποδοχή </w:t>
      </w:r>
      <w:r w:rsidRPr="006B271E">
        <w:rPr>
          <w:rFonts w:asciiTheme="minorHAnsi" w:hAnsiTheme="minorHAnsi"/>
        </w:rPr>
        <w:lastRenderedPageBreak/>
        <w:t>του Φακέλου Α’ των δύο προσφορών και αποφασίσθηκε η αποσφράγιση του Φακέλου Β’.  Από την αποσφράγιση των φακέλων Β’ διαπιστώθηκε ότι η διαγωνιζομένη OPAP Investment Ltd προσέφερε το μεγαλύτερο τίμημα.</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 xml:space="preserve">Ως εκ τούτου, με βάση το σχετικό πίνακα κατάταξης που συντάχθηκε και αφού ελήφθη υπόψη η σύμφωνη γνωμοδότηση του Συμβουλίου Εμπειρογνωμόνων, το ΔΣ του ΤΑΙΠΕΔ αποφάσισε να προχωρήσει στην κατακύρωση του διαγωνισμού στην εταιρία OPAP Investment Ltd, η οποία κατέλαβε την πρώτη θέση στο συγκεκριμένο πίνακα. Οι διαγωνιζόμενοι ενημερώθηκαν σχετικώς για το αποτέλεσμα της διαδικασίας μέσω ηλεκτρονικού μηνύματος το οποίο εστάλη την 23.09.2014 από την τράπεζα ALPHA Bank, χρηματοοικονομικό σύμβουλο του ΤΑΙΠΕΔ επί της διαδικασίας. Ακολούθως, στη συνεδρίαση της 30.10.2014 το ΔΣ του ΤΑΙΠΕΔ προχώρησε στην ανακήρυξη της </w:t>
      </w:r>
      <w:r w:rsidRPr="006B271E">
        <w:rPr>
          <w:rFonts w:asciiTheme="minorHAnsi" w:hAnsiTheme="minorHAnsi"/>
          <w:lang w:val="en-US"/>
        </w:rPr>
        <w:t>OPAP</w:t>
      </w:r>
      <w:r w:rsidRPr="006B271E">
        <w:rPr>
          <w:rFonts w:asciiTheme="minorHAnsi" w:hAnsiTheme="minorHAnsi"/>
        </w:rPr>
        <w:t xml:space="preserve"> </w:t>
      </w:r>
      <w:r w:rsidRPr="006B271E">
        <w:rPr>
          <w:rFonts w:asciiTheme="minorHAnsi" w:hAnsiTheme="minorHAnsi"/>
          <w:lang w:val="en-US"/>
        </w:rPr>
        <w:t>Investment</w:t>
      </w:r>
      <w:r w:rsidRPr="006B271E">
        <w:rPr>
          <w:rFonts w:asciiTheme="minorHAnsi" w:hAnsiTheme="minorHAnsi"/>
        </w:rPr>
        <w:t xml:space="preserve"> </w:t>
      </w:r>
      <w:r w:rsidRPr="006B271E">
        <w:rPr>
          <w:rFonts w:asciiTheme="minorHAnsi" w:hAnsiTheme="minorHAnsi"/>
          <w:lang w:val="en-US"/>
        </w:rPr>
        <w:t>Ltd</w:t>
      </w:r>
      <w:r w:rsidRPr="006B271E">
        <w:rPr>
          <w:rFonts w:asciiTheme="minorHAnsi" w:hAnsiTheme="minorHAnsi"/>
        </w:rPr>
        <w:t xml:space="preserve"> ως Τελικού Επιλεγέντος Επενδυτή, σύμφωνα με τους όρους 7.3 και 7.4 της από 01.09.2014 Πρόσκλησης Υποβολής Δεσμευτικών Προσφορών.</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Επιπλέον, η Σύμβαση Παραχώρησης υπεβλήθη, κατά το άρθρο 9 του ν. 3986/2011, στον προσυμβατικό έλεγχο του Ελεγκτικού Συνεδρίου, το Ζ΄ Κλιμάκιο του οποίου εξέδωσε σχετικώς την υπ’ αριθ. 284/2014 πράξη του με την οποία έκρινε ότι δεν συντρέχει λόγος που να κωλύει την υπογραφή της ελεγχθείσας Σύμβασης.</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Τέλος, την 24ή Απριλίου 2015 υπεγράφη η Σύμβαση Παραχώρησης μεταξύ, αφενός, του ΤΑΙΠΕΔ και, αφετέρου, της ανώνυμης εταιρείας με την επωνυμία «ΙΠΠΟΔΡΟΜΙΕΣ Α.Ε.».</w:t>
      </w:r>
    </w:p>
    <w:p w:rsidR="006B271E" w:rsidRDefault="006B271E" w:rsidP="006B271E">
      <w:pPr>
        <w:pStyle w:val="ab"/>
        <w:spacing w:line="276" w:lineRule="auto"/>
        <w:jc w:val="both"/>
        <w:rPr>
          <w:rFonts w:asciiTheme="minorHAnsi" w:hAnsiTheme="minorHAnsi"/>
          <w:b/>
          <w:i/>
          <w:u w:val="single"/>
        </w:rPr>
      </w:pPr>
    </w:p>
    <w:p w:rsidR="00537C43" w:rsidRPr="006B271E" w:rsidRDefault="00537C43" w:rsidP="006B271E">
      <w:pPr>
        <w:pStyle w:val="ab"/>
        <w:spacing w:line="276" w:lineRule="auto"/>
        <w:jc w:val="both"/>
        <w:rPr>
          <w:rFonts w:asciiTheme="minorHAnsi" w:hAnsiTheme="minorHAnsi"/>
          <w:b/>
          <w:i/>
          <w:u w:val="single"/>
        </w:rPr>
      </w:pPr>
      <w:r w:rsidRPr="006B271E">
        <w:rPr>
          <w:rFonts w:asciiTheme="minorHAnsi" w:hAnsiTheme="minorHAnsi"/>
          <w:b/>
          <w:i/>
          <w:u w:val="single"/>
        </w:rPr>
        <w:t>Γ. ΣΗΜΑΣΙΑ ΤΗΣ ΣΥΜΒΑΣΗΣ – ΟΦΕΛΗ ΓΙΑ ΤΟ ΕΛΛΗΝΙΚΟ ΔΗΜΟΣΙΟ</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Η συνολική αξία του οικονομικού ανταλλάγματος για το Ελληνικό Δημόσιο περιλαμβάνει:</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ab/>
        <w:t>α. Καταβολή τιμήματος ύψους 40.501.000, 00 ευρώ, καταβλητέο κατά τους ειδικότερους όρους που ορίζονται στη Σύμβαση Παραχώρησης.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ab/>
        <w:t>β. Η Σύμβαση Παραχώρησης προβλέπει την καταβολή του τριάντα τοις εκατό (30%) του Μικτού Κέρδους (</w:t>
      </w:r>
      <w:r w:rsidRPr="006B271E">
        <w:rPr>
          <w:rFonts w:asciiTheme="minorHAnsi" w:hAnsiTheme="minorHAnsi"/>
          <w:lang w:val="en-US"/>
        </w:rPr>
        <w:t>Gross</w:t>
      </w:r>
      <w:r w:rsidRPr="006B271E">
        <w:rPr>
          <w:rFonts w:asciiTheme="minorHAnsi" w:hAnsiTheme="minorHAnsi"/>
        </w:rPr>
        <w:t xml:space="preserve"> </w:t>
      </w:r>
      <w:r w:rsidRPr="006B271E">
        <w:rPr>
          <w:rFonts w:asciiTheme="minorHAnsi" w:hAnsiTheme="minorHAnsi"/>
          <w:lang w:val="en-US"/>
        </w:rPr>
        <w:t>Gaming</w:t>
      </w:r>
      <w:r w:rsidRPr="006B271E">
        <w:rPr>
          <w:rFonts w:asciiTheme="minorHAnsi" w:hAnsiTheme="minorHAnsi"/>
        </w:rPr>
        <w:t xml:space="preserve"> </w:t>
      </w:r>
      <w:r w:rsidRPr="006B271E">
        <w:rPr>
          <w:rFonts w:asciiTheme="minorHAnsi" w:hAnsiTheme="minorHAnsi"/>
          <w:lang w:val="en-US"/>
        </w:rPr>
        <w:t>Revenues</w:t>
      </w:r>
      <w:r w:rsidRPr="006B271E">
        <w:rPr>
          <w:rFonts w:asciiTheme="minorHAnsi" w:hAnsiTheme="minorHAnsi"/>
        </w:rPr>
        <w:t>) του Παραχωρησιούχου για κάθε ημερολογιακό μήνα, μέρος του οποίου θα διατίθεται για τα έξοδα συντήρησης και λειτουργίας του κλάδου των ιπποδρομιών.</w:t>
      </w:r>
    </w:p>
    <w:p w:rsidR="00537C43" w:rsidRPr="006B271E" w:rsidRDefault="00537C43" w:rsidP="006B271E">
      <w:pPr>
        <w:pStyle w:val="ab"/>
        <w:spacing w:line="276" w:lineRule="auto"/>
        <w:ind w:firstLine="720"/>
        <w:jc w:val="both"/>
        <w:rPr>
          <w:rFonts w:asciiTheme="minorHAnsi" w:hAnsiTheme="minorHAnsi"/>
        </w:rPr>
      </w:pPr>
      <w:r w:rsidRPr="006B271E">
        <w:rPr>
          <w:rFonts w:asciiTheme="minorHAnsi" w:hAnsiTheme="minorHAnsi"/>
        </w:rPr>
        <w:t>Ανεξάρτητα από τα οικονομικά οφέλη που θα προκύψουν για το Ελληνικό Δημόσιο, τα οποία θα συμβάλουν στην αποπληρωμή του δημοσίου χρέους, πρόκειται να αναπτυχθεί ένας σημαντικός κλάδος, αυτός των ιπποδρομιών, και να βελτιωθούν οι συνθήκες διεξαγωγής του συγκεκριμένου αθλήματος. Παράλληλα, με την εκμίσθωση προς τον Παραχωρησιούχο του ακινήτου και των εγκαταστάσεων του ΟΔΙΕ στο Μαρκόπουλο, θα συντηρηθεί η αξία ενός ιδιαίτερα σημαντικού ακινήτου που είχε κατασκευαστεί στο πλαίσιο διεξαγωγής των Ολυμπιακών Αγώνων του 2004, και θα προκύψουν πολλαπλά οφέλη και για την τοπική κοινότητα, η οποία θα εξακολουθήσει να αποτελεί τον πόλο έλξης των ιπποδρομιών σε εθνικό επίπεδο. Ταυτόχρονα εκτιμάται ότι θα διατηρηθούν θέσεις εργασίας, ενώ η μελλοντική ανάπτυξη της δραστηριότητας από τον Παραχωρησιούχο και η νέα πνοή που θα δοθεί στο αγώνισμα, με την αύξηση του αριθμού των δρομώνων ίππων και ακολούθως των διεξαγόμενων ιπποδρομιών, θα οδηγήσει σε ανάπτυξη επιμέρους δραστηριοτήτων που σχετίζονται άμεσα ή έμμεσα με τις ιπποδρομίες.</w:t>
      </w:r>
    </w:p>
    <w:p w:rsidR="006B271E" w:rsidRDefault="006B271E" w:rsidP="006B271E">
      <w:pPr>
        <w:pStyle w:val="ab"/>
        <w:spacing w:line="276" w:lineRule="auto"/>
        <w:jc w:val="both"/>
        <w:rPr>
          <w:rFonts w:asciiTheme="minorHAnsi" w:hAnsiTheme="minorHAnsi"/>
          <w:b/>
          <w:i/>
          <w:u w:val="single"/>
        </w:rPr>
      </w:pPr>
    </w:p>
    <w:p w:rsidR="00537C43" w:rsidRPr="006B271E" w:rsidRDefault="00537C43" w:rsidP="006B271E">
      <w:pPr>
        <w:pStyle w:val="ab"/>
        <w:spacing w:line="276" w:lineRule="auto"/>
        <w:jc w:val="both"/>
        <w:rPr>
          <w:rFonts w:asciiTheme="minorHAnsi" w:hAnsiTheme="minorHAnsi"/>
          <w:b/>
          <w:i/>
          <w:u w:val="single"/>
        </w:rPr>
      </w:pPr>
      <w:r w:rsidRPr="006B271E">
        <w:rPr>
          <w:rFonts w:asciiTheme="minorHAnsi" w:hAnsiTheme="minorHAnsi"/>
          <w:b/>
          <w:i/>
          <w:u w:val="single"/>
        </w:rPr>
        <w:t>Δ. ΕΙΔΙΚΕΣ ΑΝΑΦΟΡΕΣ ΕΠΙ ΤΩΝ ΑΡΘΡΩΝ</w:t>
      </w:r>
    </w:p>
    <w:p w:rsidR="00537C43" w:rsidRPr="006B271E" w:rsidRDefault="00537C43" w:rsidP="006B271E">
      <w:pPr>
        <w:pStyle w:val="ab"/>
        <w:spacing w:line="276" w:lineRule="auto"/>
        <w:jc w:val="both"/>
        <w:rPr>
          <w:rFonts w:asciiTheme="minorHAnsi" w:hAnsiTheme="minorHAnsi"/>
          <w:i/>
          <w:u w:val="single"/>
        </w:rPr>
      </w:pPr>
      <w:r w:rsidRPr="006B271E">
        <w:rPr>
          <w:rFonts w:asciiTheme="minorHAnsi" w:hAnsiTheme="minorHAnsi"/>
          <w:i/>
          <w:u w:val="single"/>
        </w:rPr>
        <w:t>Επί του άρθρου 1</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Με το άρθρο πρώτο κυρώνεται και αποκτά ισχύ νόμου η «Σύμβασης Παραχώρησης του αποκλειστικού δικαιώματος διοργάνωσης και διεξαγωγής αμοιβαίου στοιχήματος επί ιπποδρομιών στην Ελλάδα», που υπογράφηκε στην Αθήνα στις 24 Απριλίου 2015 μεταξύ, αφενός, της </w:t>
      </w:r>
      <w:r w:rsidRPr="006B271E">
        <w:rPr>
          <w:rFonts w:asciiTheme="minorHAnsi" w:hAnsiTheme="minorHAnsi"/>
        </w:rPr>
        <w:lastRenderedPageBreak/>
        <w:t>εδρεύουσας στην Αθήνα ανώνυμης εταιρείας με την επωνυμία «Ταμείο Αξιοποίησης Ιδιωτικής Περιουσίας του Δημοσίου Α.Ε.» και, αφετέρου, της εδρεύουσας στο Περιστέρι Αττικής ανώνυμης εταιρείας με την επωνυμία «ΙΠΠΟΔΡΟΜΙΕΣ Α.Ε.». Η κύρωση της Σύμβασης με νομοθετική πράξη κρίνεται αναγκαία καθώς αυτή περιέχει όρους που δεσμεύουν τρίτους μη συμβαλλόμενους, και δη το Ελληνικό Δημόσιο και περιέχει ειδικές ρυθμίσεις όπως, π.χ., για την επίλυση με διαιτησία των διαφορών που ανακύπτουν από την εκτέλεση ή τη λύση της Σύμβασης.</w:t>
      </w:r>
    </w:p>
    <w:p w:rsidR="00537C43" w:rsidRPr="006B271E" w:rsidRDefault="00537C43" w:rsidP="006B271E">
      <w:pPr>
        <w:pStyle w:val="ab"/>
        <w:spacing w:line="276" w:lineRule="auto"/>
        <w:jc w:val="both"/>
        <w:rPr>
          <w:rFonts w:asciiTheme="minorHAnsi" w:hAnsiTheme="minorHAnsi"/>
          <w:i/>
          <w:u w:val="single"/>
        </w:rPr>
      </w:pPr>
      <w:r w:rsidRPr="006B271E">
        <w:rPr>
          <w:rFonts w:asciiTheme="minorHAnsi" w:hAnsiTheme="minorHAnsi"/>
          <w:i/>
          <w:u w:val="single"/>
        </w:rPr>
        <w:t>Επί του άρθρου 2</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Με το άρθρο δεύτερο ρυθμίζονται ζητήματα της εκκαθάρισης του ΟΔΙΕ, που πρόκειται να τεθεί σε λύση και εκκαθάριση στις 15.07.2015, βάσει του άρθρου 24 παρ. 4 του ν. 4321/2015. Η παρούσα ρύθμιση εισάγεται με γνώμονα την επωφελέστερη αξιοποίηση της περιουσίας της εκκαθαριζόμενης εταιρίας προς χάριν του δημοσίου συμφέροντος, καθώς και την ικανοποίηση των πιστωτών του ΟΔΙΕ, λαμβανομένων υπόψη και των στόχων της αποκρατικοποίησης του αμοιβαίου ιπποδρομιακού στοιχήματος.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Με την παράγραφο 1 του άρθρου δεύτερου εισάγεται ειδική διαδικασία αφερεγγυότητας με την οποία</w:t>
      </w:r>
      <w:r w:rsidRPr="006B271E" w:rsidDel="0085623A">
        <w:rPr>
          <w:rFonts w:asciiTheme="minorHAnsi" w:hAnsiTheme="minorHAnsi"/>
        </w:rPr>
        <w:t xml:space="preserve"> </w:t>
      </w:r>
      <w:r w:rsidRPr="006B271E">
        <w:rPr>
          <w:rFonts w:asciiTheme="minorHAnsi" w:hAnsiTheme="minorHAnsi"/>
        </w:rPr>
        <w:t xml:space="preserve">επιδιώκεται η ρευστοποίηση της περιουσίας του ΟΔΙΕ και ορίζεται η συνακόλουθη ικανοποίηση των πιστωτών της να γίνει στο πλαίσιο μιας συλλογικής διαδικασίας η οποία λαμβάνει υπόψη τους ανωτέρω σκοπούς. Στο πλαίσιο αυτό, με την παράγραφο 2 επιδιώκεται να προστατευθούν τα περιουσιακά στοιχεία της ΟΔΙΕ από πιθανές μεμονωμένες κατασχέσεις για διάστημα που θα καταστήσει δυνατή την επωφελή αξιοποίηση των περιουσιακών στοιχείων του ΟΔΙΕ.  Ειδικότερα, προβλέπεται ότι από την κατάθεση του σχεδίου νόμου  στη Βουλή και για περίοδο επτά (7) ετών από την έναρξη της εκκαθάρισης του ΟΔΙΕ αναστέλλονται οι πάσης φύσεως πράξεις ή μέτρα, εκκρεμή ή μη, ατομικής ή συλλογικής διοικητικής και αναγκαστικής εκτέλεσης κατά τον Κώδικα Πολιτικής Δικονομίας ή κάθε άλλη διάταξη ειδικού νόμου, καθώς και η λήψη οποιουδήποτε ασφαλιστικού μέτρου κατά τον Κώδικα Πολιτικής Δικονομίας, τον Κώδικα Διοικητικής Δικονομίας ή κάθε άλλη διάταξη ειδικού νόμου κατά της περιουσίας του ΟΔΙΕ. </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Για τους ίδιους λόγους με τις παραγράφους 4, 5 και 6 προβλέπεται η εκποίηση του ακινήτου του ιπποδρόμου στο Μαρκόπουλο από τον εκκαθαριστή μετά την πάροδο ορισμένης προθεσμίας, καθώς επίσης και ειδική διαδικασία βάσει της οποίας θα πραγματοποιηθεί ο συγκεκριμένος πλειστηριασμός.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Για την προστασία του δημοσίου συμφέροντος και ιδίως εφόσον αυτό επιβάλλεται για τους σκοπούς της προστασίας της περιουσίας του ΟΔΙΕ ή άλλων συμφερόντων του Δημοσίου, με την παράγραφο 7 παρέχεται στη διοίκηση του ΟΔΙΕ η δυνατότητα ρύθμισης οφειλών της ΟΔΙΕ. Συγκεκριμένα προβλέπεται ότι ο ΟΔΙΕ δύναται να συμφωνεί την εκχώρηση έως και των 2/3 των μισθωμάτων που καταβάλλονται προς αυτόν δυνάμει της σύμβασης μίσθωσης του άρθρου 13 παρ. 7 (β) του ν. 4111/2013 σε πιστωτές του ΟΔΙΕ που έχουν επιβάλει κατασχέσεις κατά τον Κώδικα Πολιτικής Δικονομίας επί του ακινήτου, κυριότητάς του, στο Μαρκόπουλο Αττικής. Ακολούθως, με την παράγραφο 8 προβλέπεται η συνέχιση της παροχής υπηρεσιών αναφορικά με τη λειτουργία του μηχανογραφικού συστήματος του συγκεντρωτή αμοιβαίου ιπποδρομιακού στοιχήματος, το αργότερο μέχρι και τη θέση της σύμβασης παραχώρησης σε ισχύ. Με τον τρόπο αυτό αφενός διασφαλίζεται η εύρυθμη λειτουργία του ΟΔΙΕ μέχρι τη θέση αυτού σε λύση και εκκαθάριση, αφετέρου εξασφαλίζεται η τήρηση των συμβάσεων παραχώρησης και μίσθωσης που έχουν συναφθεί με την «Ιπποδρομίες Α.Ε.», γεγονός το οποίο ευθυγραμμίζεται και με την γενικότερη βούληση του Δημοσίου για διατήρηση και ανάπτυξη της ιπποδρομιακής δραστηριότητας στην περιοχή του Μαρκόπουλου, παράλληλα δε αποφεύγεται ο κίνδυνος πληρωμής αποζημιώσεων στον </w:t>
      </w:r>
      <w:r w:rsidRPr="006B271E">
        <w:rPr>
          <w:rFonts w:asciiTheme="minorHAnsi" w:hAnsiTheme="minorHAnsi"/>
        </w:rPr>
        <w:lastRenderedPageBreak/>
        <w:t>Παραχωρησιούχο εξαιτίας είτε της απώλειας του ακινήτου είτε της παύσης της λειτουργίας του ΟΔΙΕ μέχρι την έναρξη ισχύος της σύμβασης παραχώρησης.</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Με την παράγραφο 11 επιδιώκεται να συμπληρωθεί η ήδη υπάρχουσα ρύθμιση του άρθρου 13 παρ. 7 ν. 4111/2013, σύμφωνα με την οποία προβλέπεται ότι στη Σύμβαση Παραχώρησης δεν εφαρμόζεται το άρθρο 479 ΑΚ. Έτσι ορίζεται σαφώς ότι ο Παραχωρησιούχος δεν είναι διάδοχος του ΟΔΙΕ για οποιαδήποτε σχέση έχει αυτός συνάψει καθώς και για οποιαδήποτε σχετική υποχρέωση ή δικαίωμα έχει τυχόν αναλάβει στο πλαίσιο της λειτουργίας του.  </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Με την παράγραφο 12 διευκρινίζεται ότι για τις ανάγκες εφαρμογής του άρθρου 618 ΑΚ, η Σύμβαση Μίσθωσης που υπεγράφη μεταξύ του ΟΔΙΕ και της Ιπποδρομίες Α.Ε., παρόλο που καταρτίσθηκε με ιδιωτικό συμφωνητικό, από την κύρωσή της με νόμο, ως παράρτημα της Σύμβασης Παραχώρησης, αποκτά ισχύ δημοσίου εγγράφου και δύναται να μεταγραφεί στο οικείο υποθηκοφυλακείο, ώστε να αποκτήσει ισχύ και έναντι του νέου κτήτορα του ιπποδρομίου για περίοδο πέραν των εννέα ετών. </w:t>
      </w:r>
    </w:p>
    <w:p w:rsidR="00537C43" w:rsidRPr="006B271E" w:rsidRDefault="00537C43" w:rsidP="006B271E">
      <w:pPr>
        <w:pStyle w:val="ab"/>
        <w:spacing w:line="276" w:lineRule="auto"/>
        <w:jc w:val="both"/>
        <w:rPr>
          <w:rFonts w:asciiTheme="minorHAnsi" w:hAnsiTheme="minorHAnsi"/>
        </w:rPr>
      </w:pPr>
      <w:r w:rsidRPr="006B271E">
        <w:rPr>
          <w:rFonts w:asciiTheme="minorHAnsi" w:hAnsiTheme="minorHAnsi"/>
        </w:rPr>
        <w:t xml:space="preserve">Με τις παραγράφους 9 και 10 ρυθμίζονται ειδικά ζητήματα της διαδικασίας διορισμού του εκκαθαριστή, την αμοιβή του και την ευθύνη του. </w:t>
      </w:r>
    </w:p>
    <w:p w:rsidR="00537C43" w:rsidRPr="006B271E" w:rsidRDefault="00537C43" w:rsidP="006B271E">
      <w:pPr>
        <w:pStyle w:val="ab"/>
        <w:spacing w:line="276" w:lineRule="auto"/>
        <w:jc w:val="both"/>
        <w:rPr>
          <w:rFonts w:asciiTheme="minorHAnsi" w:hAnsiTheme="minorHAnsi"/>
          <w:strike/>
        </w:rPr>
      </w:pPr>
      <w:r w:rsidRPr="006B271E">
        <w:rPr>
          <w:rFonts w:asciiTheme="minorHAnsi" w:hAnsiTheme="minorHAnsi"/>
        </w:rPr>
        <w:t>Με την παράγραφο 13 ρυθμίζονται θέματα λειτουργίας της κτηνιατρικής κλινικής που υφίσταται εντός του Ολυμπιακού Ιππικού Κέντρου. Ειδικότερα διευκρινίζεται ότι η συγκεκριμένη κλινική νοείται ως νομίμως αδειοδοτημένη</w:t>
      </w:r>
      <w:r w:rsidRPr="006B271E">
        <w:rPr>
          <w:rFonts w:asciiTheme="minorHAnsi" w:hAnsiTheme="minorHAnsi"/>
          <w:color w:val="FF0000"/>
        </w:rPr>
        <w:t xml:space="preserve">, </w:t>
      </w:r>
      <w:r w:rsidRPr="006B271E">
        <w:rPr>
          <w:rFonts w:asciiTheme="minorHAnsi" w:hAnsiTheme="minorHAnsi"/>
        </w:rPr>
        <w:t>και για τον παραχωρησιούχο  κατά τις διατάξεις της κείμενης νομοθεσίας που προβλέπει τα περί αδειοδοτήσεων των κτηνιατρικών κλινικών. Σημειώνεται, εξάλλου, ότι πρόκειται για την μοναδική κλινική μεγάλων ζώων που λειτουργεί εντός της Αττικής και η λειτουργία της δεν περιορίζεται μόνο για τις ανάγκες του ιπποδρόμου και του Ιππικού Κέντρου, αλλά παρέχει υπηρεσίες για μεγάλα ζώα εν γένει. Με τον τρόπο αυτό διασφαλίζεται η ομαλή λειτουργία της, αλλά και επιτελείται σημαντικό κοινωνικό έργο ενόψει των υπηρεσιών που παρέχονται. Παράλληλα, δεδομένης της θέσης του ΟΔΙΕ σε εκκαθάριση, ο οποίος είχε νόμιμα</w:t>
      </w:r>
      <w:r w:rsidRPr="006B271E">
        <w:rPr>
          <w:rFonts w:asciiTheme="minorHAnsi" w:hAnsiTheme="minorHAnsi"/>
          <w:color w:val="FF0000"/>
        </w:rPr>
        <w:t xml:space="preserve"> </w:t>
      </w:r>
      <w:r w:rsidRPr="006B271E">
        <w:rPr>
          <w:rFonts w:asciiTheme="minorHAnsi" w:hAnsiTheme="minorHAnsi"/>
        </w:rPr>
        <w:t>μέχρι σήμερα την εκμετάλλευσή της, πρόκειται να υπάρξουν και οικονομικά οφέλη για το Δημόσιο, ενόψει της παραχώρησής της Κτηνιατρικής Κλινικής  η οποία παραχώρηση προβλέπεται και από την Σύμβαση.</w:t>
      </w:r>
      <w:r w:rsidRPr="006B271E">
        <w:rPr>
          <w:rFonts w:asciiTheme="minorHAnsi" w:hAnsiTheme="minorHAnsi"/>
          <w:strike/>
        </w:rPr>
        <w:t xml:space="preserve">  </w:t>
      </w:r>
    </w:p>
    <w:p w:rsidR="006B271E" w:rsidRDefault="006B271E" w:rsidP="006B271E">
      <w:pPr>
        <w:pStyle w:val="ab"/>
        <w:spacing w:line="276" w:lineRule="auto"/>
        <w:jc w:val="both"/>
        <w:rPr>
          <w:rFonts w:asciiTheme="minorHAnsi" w:hAnsiTheme="minorHAnsi"/>
        </w:rPr>
      </w:pPr>
    </w:p>
    <w:p w:rsidR="00BB555B" w:rsidRPr="006B271E" w:rsidRDefault="00BB555B" w:rsidP="006B271E">
      <w:pPr>
        <w:pStyle w:val="ab"/>
        <w:spacing w:line="276" w:lineRule="auto"/>
        <w:jc w:val="both"/>
        <w:rPr>
          <w:rFonts w:asciiTheme="minorHAnsi" w:hAnsiTheme="minorHAnsi"/>
        </w:rPr>
      </w:pPr>
    </w:p>
    <w:p w:rsidR="00BB555B" w:rsidRPr="006B271E" w:rsidRDefault="00BB555B" w:rsidP="006B271E">
      <w:pPr>
        <w:pStyle w:val="ab"/>
        <w:spacing w:line="276" w:lineRule="auto"/>
        <w:jc w:val="both"/>
        <w:rPr>
          <w:rFonts w:asciiTheme="minorHAnsi" w:hAnsiTheme="minorHAnsi"/>
        </w:rPr>
      </w:pPr>
    </w:p>
    <w:p w:rsidR="00BB555B" w:rsidRPr="006B271E" w:rsidRDefault="00BB555B" w:rsidP="00640E31">
      <w:pPr>
        <w:pStyle w:val="ab"/>
        <w:spacing w:line="276" w:lineRule="auto"/>
        <w:ind w:firstLine="720"/>
        <w:jc w:val="both"/>
        <w:rPr>
          <w:rFonts w:asciiTheme="minorHAnsi" w:hAnsiTheme="minorHAnsi"/>
          <w:bCs/>
        </w:rPr>
      </w:pPr>
    </w:p>
    <w:p w:rsidR="00525FD9" w:rsidRPr="00525FD9" w:rsidRDefault="00525FD9" w:rsidP="00525FD9">
      <w:pPr>
        <w:pStyle w:val="ab"/>
        <w:spacing w:line="276" w:lineRule="auto"/>
        <w:jc w:val="both"/>
        <w:rPr>
          <w:rFonts w:asciiTheme="minorHAnsi" w:eastAsia="Times New Roman" w:hAnsiTheme="minorHAnsi" w:cs="Times New Roman"/>
        </w:rPr>
      </w:pPr>
    </w:p>
    <w:p w:rsidR="00525FD9" w:rsidRPr="006B271E" w:rsidRDefault="00525FD9" w:rsidP="006C4B37">
      <w:pPr>
        <w:pStyle w:val="ab"/>
        <w:spacing w:line="276" w:lineRule="auto"/>
        <w:jc w:val="both"/>
        <w:rPr>
          <w:rFonts w:asciiTheme="minorHAnsi" w:hAnsiTheme="minorHAnsi"/>
        </w:rPr>
      </w:pPr>
    </w:p>
    <w:p w:rsidR="00BB555B" w:rsidRPr="00F7213F" w:rsidRDefault="001D583E" w:rsidP="006B271E">
      <w:pPr>
        <w:pStyle w:val="ab"/>
        <w:spacing w:line="276" w:lineRule="auto"/>
        <w:jc w:val="both"/>
        <w:rPr>
          <w:rFonts w:asciiTheme="minorHAnsi" w:hAnsiTheme="minorHAnsi"/>
          <w:bCs/>
          <w:i/>
          <w:u w:val="single"/>
        </w:rPr>
      </w:pPr>
      <w:r w:rsidRPr="00F7213F">
        <w:rPr>
          <w:rFonts w:asciiTheme="minorHAnsi" w:hAnsiTheme="minorHAnsi"/>
          <w:bCs/>
          <w:i/>
          <w:u w:val="single"/>
        </w:rPr>
        <w:t xml:space="preserve">Άρθρο </w:t>
      </w:r>
      <w:r w:rsidR="006C4B37">
        <w:rPr>
          <w:rFonts w:asciiTheme="minorHAnsi" w:hAnsiTheme="minorHAnsi"/>
          <w:bCs/>
          <w:i/>
          <w:u w:val="single"/>
        </w:rPr>
        <w:t>3</w:t>
      </w:r>
      <w:r w:rsidR="00BB555B" w:rsidRPr="00F7213F">
        <w:rPr>
          <w:rFonts w:asciiTheme="minorHAnsi" w:hAnsiTheme="minorHAnsi"/>
          <w:bCs/>
          <w:i/>
          <w:u w:val="single"/>
        </w:rPr>
        <w:t>- Έναρξη ισχύος</w:t>
      </w:r>
    </w:p>
    <w:p w:rsidR="00BB555B" w:rsidRPr="006B271E" w:rsidRDefault="00BB555B" w:rsidP="006B271E">
      <w:pPr>
        <w:pStyle w:val="ab"/>
        <w:spacing w:line="276" w:lineRule="auto"/>
        <w:jc w:val="both"/>
        <w:rPr>
          <w:rFonts w:asciiTheme="minorHAnsi" w:hAnsiTheme="minorHAnsi"/>
        </w:rPr>
      </w:pPr>
      <w:r w:rsidRPr="006B271E">
        <w:rPr>
          <w:rFonts w:asciiTheme="minorHAnsi" w:hAnsiTheme="minorHAnsi"/>
        </w:rPr>
        <w:t>Στο άρθρο αυτό ορίζεται ότι ο νόμος αυτός αρχίζει να ισχύει από τη δημοσίευσή του</w:t>
      </w:r>
      <w:r w:rsidR="00F7213F">
        <w:rPr>
          <w:rFonts w:asciiTheme="minorHAnsi" w:hAnsiTheme="minorHAnsi"/>
        </w:rPr>
        <w:t xml:space="preserve"> στην Εφημερίδα της Κυβερνήσεως, με την επιφύλαξη ειδικότερης πρόβλεψης ως προς την έναρξη ισχύος σε κάποια διάταξη του σχεδίου νόμου</w:t>
      </w:r>
    </w:p>
    <w:p w:rsidR="00537C43" w:rsidRPr="006B271E" w:rsidRDefault="00537C43" w:rsidP="006B271E">
      <w:pPr>
        <w:pStyle w:val="ab"/>
        <w:spacing w:line="276" w:lineRule="auto"/>
        <w:jc w:val="both"/>
        <w:rPr>
          <w:rFonts w:asciiTheme="minorHAnsi" w:hAnsiTheme="minorHAnsi"/>
        </w:rPr>
      </w:pPr>
    </w:p>
    <w:p w:rsidR="00BB555B" w:rsidRDefault="00BB555B"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Default="00875DE9" w:rsidP="006B271E">
      <w:pPr>
        <w:pStyle w:val="ab"/>
        <w:spacing w:line="276" w:lineRule="auto"/>
        <w:jc w:val="both"/>
        <w:rPr>
          <w:rFonts w:asciiTheme="minorHAnsi" w:hAnsiTheme="minorHAnsi"/>
          <w:bCs/>
        </w:rPr>
      </w:pPr>
    </w:p>
    <w:p w:rsidR="00875DE9" w:rsidRPr="006B271E" w:rsidRDefault="00875DE9" w:rsidP="006B271E">
      <w:pPr>
        <w:pStyle w:val="ab"/>
        <w:spacing w:line="276" w:lineRule="auto"/>
        <w:jc w:val="both"/>
        <w:rPr>
          <w:rFonts w:asciiTheme="minorHAnsi" w:hAnsiTheme="minorHAnsi"/>
          <w:bCs/>
        </w:rPr>
      </w:pPr>
    </w:p>
    <w:p w:rsidR="00BB555B" w:rsidRDefault="000E3185" w:rsidP="000E3185">
      <w:pPr>
        <w:pStyle w:val="ab"/>
        <w:spacing w:line="276" w:lineRule="auto"/>
        <w:jc w:val="right"/>
        <w:rPr>
          <w:rFonts w:asciiTheme="minorHAnsi" w:hAnsiTheme="minorHAnsi"/>
          <w:bCs/>
        </w:rPr>
      </w:pPr>
      <w:r>
        <w:rPr>
          <w:rFonts w:asciiTheme="minorHAnsi" w:hAnsiTheme="minorHAnsi"/>
          <w:bCs/>
        </w:rPr>
        <w:t>Αθήνα, …. .10.2015</w:t>
      </w:r>
    </w:p>
    <w:p w:rsidR="00BB555B" w:rsidRPr="000E3185" w:rsidRDefault="00BB555B" w:rsidP="000E3185">
      <w:pPr>
        <w:pStyle w:val="ab"/>
        <w:spacing w:line="276" w:lineRule="auto"/>
        <w:jc w:val="center"/>
        <w:rPr>
          <w:rFonts w:asciiTheme="minorHAnsi" w:hAnsiTheme="minorHAnsi"/>
          <w:b/>
        </w:rPr>
      </w:pPr>
      <w:r w:rsidRPr="000E3185">
        <w:rPr>
          <w:rFonts w:asciiTheme="minorHAnsi" w:hAnsiTheme="minorHAnsi"/>
          <w:b/>
        </w:rPr>
        <w:t>Οι Υπουργοί</w:t>
      </w:r>
    </w:p>
    <w:p w:rsidR="00BB555B" w:rsidRPr="006B271E" w:rsidRDefault="00BB555B" w:rsidP="006B271E">
      <w:pPr>
        <w:pStyle w:val="ab"/>
        <w:spacing w:line="276" w:lineRule="auto"/>
        <w:jc w:val="both"/>
        <w:rPr>
          <w:rFonts w:asciiTheme="minorHAnsi" w:hAnsiTheme="minorHAnsi"/>
        </w:rPr>
      </w:pPr>
    </w:p>
    <w:tbl>
      <w:tblPr>
        <w:tblW w:w="0" w:type="auto"/>
        <w:jc w:val="center"/>
        <w:tblLook w:val="04A0" w:firstRow="1" w:lastRow="0" w:firstColumn="1" w:lastColumn="0" w:noHBand="0" w:noVBand="1"/>
      </w:tblPr>
      <w:tblGrid>
        <w:gridCol w:w="8994"/>
        <w:gridCol w:w="222"/>
      </w:tblGrid>
      <w:tr w:rsidR="00BB555B" w:rsidRPr="006B271E" w:rsidTr="001D583E">
        <w:trPr>
          <w:trHeight w:val="469"/>
          <w:jc w:val="center"/>
        </w:trPr>
        <w:tc>
          <w:tcPr>
            <w:tcW w:w="4615" w:type="dxa"/>
          </w:tcPr>
          <w:tbl>
            <w:tblPr>
              <w:tblW w:w="9230" w:type="dxa"/>
              <w:jc w:val="center"/>
              <w:tblLook w:val="0000" w:firstRow="0" w:lastRow="0" w:firstColumn="0" w:lastColumn="0" w:noHBand="0" w:noVBand="0"/>
            </w:tblPr>
            <w:tblGrid>
              <w:gridCol w:w="4536"/>
              <w:gridCol w:w="4694"/>
            </w:tblGrid>
            <w:tr w:rsidR="00875DE9" w:rsidRPr="00B60CD5" w:rsidTr="0062132B">
              <w:trPr>
                <w:trHeight w:val="2132"/>
                <w:jc w:val="center"/>
              </w:trPr>
              <w:tc>
                <w:tcPr>
                  <w:tcW w:w="4536" w:type="dxa"/>
                </w:tcPr>
                <w:p w:rsidR="00875DE9" w:rsidRPr="00B60CD5" w:rsidRDefault="00875DE9" w:rsidP="00875DE9">
                  <w:pPr>
                    <w:pStyle w:val="ab"/>
                    <w:spacing w:line="276" w:lineRule="auto"/>
                    <w:rPr>
                      <w:rFonts w:asciiTheme="minorHAnsi" w:hAnsiTheme="minorHAnsi"/>
                      <w:sz w:val="24"/>
                      <w:szCs w:val="24"/>
                    </w:rPr>
                  </w:pPr>
                  <w:r w:rsidRPr="00B60CD5">
                    <w:rPr>
                      <w:rFonts w:asciiTheme="minorHAnsi" w:hAnsiTheme="minorHAnsi"/>
                      <w:sz w:val="24"/>
                      <w:szCs w:val="24"/>
                    </w:rPr>
                    <w:t>Ε</w:t>
                  </w:r>
                  <w:r w:rsidRPr="00875DE9">
                    <w:rPr>
                      <w:rFonts w:asciiTheme="minorHAnsi" w:hAnsiTheme="minorHAnsi"/>
                      <w:sz w:val="24"/>
                      <w:szCs w:val="24"/>
                    </w:rPr>
                    <w:t>Ε</w:t>
                  </w:r>
                  <w:r w:rsidRPr="00B60CD5">
                    <w:rPr>
                      <w:rFonts w:asciiTheme="minorHAnsi" w:hAnsiTheme="minorHAnsi"/>
                      <w:sz w:val="24"/>
                      <w:szCs w:val="24"/>
                    </w:rPr>
                    <w:t>σωτερικών και</w:t>
                  </w:r>
                </w:p>
                <w:p w:rsidR="00875DE9" w:rsidRPr="00B60CD5" w:rsidRDefault="00875DE9" w:rsidP="00875DE9">
                  <w:pPr>
                    <w:pStyle w:val="ab"/>
                    <w:spacing w:line="276" w:lineRule="auto"/>
                    <w:rPr>
                      <w:rFonts w:asciiTheme="minorHAnsi" w:hAnsiTheme="minorHAnsi"/>
                      <w:sz w:val="24"/>
                      <w:szCs w:val="24"/>
                    </w:rPr>
                  </w:pPr>
                  <w:r w:rsidRPr="00B60CD5">
                    <w:rPr>
                      <w:rFonts w:asciiTheme="minorHAnsi" w:hAnsiTheme="minorHAnsi"/>
                      <w:sz w:val="24"/>
                      <w:szCs w:val="24"/>
                    </w:rPr>
                    <w:t>Δ</w:t>
                  </w:r>
                  <w:r>
                    <w:rPr>
                      <w:rFonts w:asciiTheme="minorHAnsi" w:hAnsiTheme="minorHAnsi"/>
                      <w:sz w:val="24"/>
                      <w:szCs w:val="24"/>
                    </w:rPr>
                    <w:t>Δ</w:t>
                  </w:r>
                  <w:r w:rsidRPr="00B60CD5">
                    <w:rPr>
                      <w:rFonts w:asciiTheme="minorHAnsi" w:hAnsiTheme="minorHAnsi"/>
                      <w:sz w:val="24"/>
                      <w:szCs w:val="24"/>
                    </w:rPr>
                    <w:t>ιοικητικής Ανασυγκρότησης</w:t>
                  </w:r>
                </w:p>
                <w:p w:rsidR="00875DE9" w:rsidRDefault="00875DE9" w:rsidP="00875DE9">
                  <w:pPr>
                    <w:pStyle w:val="ab"/>
                    <w:spacing w:line="276" w:lineRule="auto"/>
                    <w:rPr>
                      <w:rFonts w:asciiTheme="minorHAnsi" w:hAnsiTheme="minorHAnsi"/>
                      <w:sz w:val="24"/>
                      <w:szCs w:val="24"/>
                    </w:rPr>
                  </w:pPr>
                </w:p>
                <w:p w:rsidR="00875DE9" w:rsidRPr="00B60CD5" w:rsidRDefault="00875DE9" w:rsidP="00875DE9">
                  <w:pPr>
                    <w:pStyle w:val="ab"/>
                    <w:spacing w:line="276" w:lineRule="auto"/>
                    <w:rPr>
                      <w:rFonts w:asciiTheme="minorHAnsi" w:hAnsiTheme="minorHAnsi"/>
                      <w:sz w:val="24"/>
                      <w:szCs w:val="24"/>
                    </w:rPr>
                  </w:pPr>
                </w:p>
                <w:p w:rsidR="00875DE9" w:rsidRDefault="00875DE9" w:rsidP="00875DE9">
                  <w:pPr>
                    <w:pStyle w:val="ab"/>
                    <w:spacing w:line="276" w:lineRule="auto"/>
                    <w:rPr>
                      <w:rFonts w:asciiTheme="minorHAnsi" w:hAnsiTheme="minorHAnsi"/>
                      <w:sz w:val="24"/>
                      <w:szCs w:val="24"/>
                    </w:rPr>
                  </w:pPr>
                  <w:r>
                    <w:rPr>
                      <w:rFonts w:asciiTheme="minorHAnsi" w:hAnsiTheme="minorHAnsi"/>
                      <w:sz w:val="24"/>
                      <w:szCs w:val="24"/>
                    </w:rPr>
                    <w:t xml:space="preserve">  Πάνο</w:t>
                  </w:r>
                  <w:r w:rsidRPr="00B60CD5">
                    <w:rPr>
                      <w:rFonts w:asciiTheme="minorHAnsi" w:hAnsiTheme="minorHAnsi"/>
                      <w:sz w:val="24"/>
                      <w:szCs w:val="24"/>
                    </w:rPr>
                    <w:t xml:space="preserve"> Κουρουμπλής</w:t>
                  </w:r>
                </w:p>
                <w:p w:rsidR="00875DE9" w:rsidRDefault="00875DE9" w:rsidP="00875DE9">
                  <w:pPr>
                    <w:pStyle w:val="ab"/>
                    <w:spacing w:line="276" w:lineRule="auto"/>
                    <w:rPr>
                      <w:rFonts w:asciiTheme="minorHAnsi" w:hAnsiTheme="minorHAnsi"/>
                      <w:sz w:val="24"/>
                      <w:szCs w:val="24"/>
                    </w:rPr>
                  </w:pPr>
                </w:p>
                <w:p w:rsidR="00875DE9" w:rsidRDefault="00875DE9" w:rsidP="00875DE9">
                  <w:pPr>
                    <w:pStyle w:val="ab"/>
                    <w:spacing w:line="276" w:lineRule="auto"/>
                    <w:rPr>
                      <w:rFonts w:asciiTheme="minorHAnsi" w:hAnsiTheme="minorHAnsi"/>
                      <w:sz w:val="24"/>
                      <w:szCs w:val="24"/>
                    </w:rPr>
                  </w:pPr>
                </w:p>
                <w:p w:rsidR="00875DE9" w:rsidRPr="00B60CD5" w:rsidRDefault="00875DE9" w:rsidP="006C4B37">
                  <w:pPr>
                    <w:pStyle w:val="ab"/>
                    <w:spacing w:line="276" w:lineRule="auto"/>
                    <w:rPr>
                      <w:rFonts w:asciiTheme="minorHAnsi" w:hAnsiTheme="minorHAnsi"/>
                      <w:sz w:val="24"/>
                      <w:szCs w:val="24"/>
                    </w:rPr>
                  </w:pPr>
                  <w:r>
                    <w:rPr>
                      <w:rFonts w:asciiTheme="minorHAnsi" w:hAnsiTheme="minorHAnsi"/>
                      <w:sz w:val="24"/>
                      <w:szCs w:val="24"/>
                    </w:rPr>
                    <w:t xml:space="preserve">  </w:t>
                  </w:r>
                </w:p>
              </w:tc>
              <w:tc>
                <w:tcPr>
                  <w:tcW w:w="4694" w:type="dxa"/>
                </w:tcPr>
                <w:p w:rsidR="006C4B37" w:rsidRPr="00B60CD5" w:rsidRDefault="006C4B37" w:rsidP="006C4B37">
                  <w:pPr>
                    <w:pStyle w:val="ab"/>
                    <w:spacing w:line="276" w:lineRule="auto"/>
                    <w:rPr>
                      <w:rFonts w:asciiTheme="minorHAnsi" w:hAnsiTheme="minorHAnsi"/>
                      <w:sz w:val="24"/>
                      <w:szCs w:val="24"/>
                    </w:rPr>
                  </w:pPr>
                  <w:r>
                    <w:rPr>
                      <w:rFonts w:asciiTheme="minorHAnsi" w:hAnsiTheme="minorHAnsi"/>
                      <w:sz w:val="24"/>
                      <w:szCs w:val="24"/>
                    </w:rPr>
                    <w:t xml:space="preserve">  </w:t>
                  </w:r>
                  <w:r w:rsidRPr="00B60CD5">
                    <w:rPr>
                      <w:rFonts w:asciiTheme="minorHAnsi" w:hAnsiTheme="minorHAnsi"/>
                      <w:sz w:val="24"/>
                      <w:szCs w:val="24"/>
                    </w:rPr>
                    <w:t>Οικονομικών</w:t>
                  </w:r>
                </w:p>
                <w:p w:rsidR="006C4B37" w:rsidRPr="00875DE9" w:rsidRDefault="006C4B37" w:rsidP="006C4B37">
                  <w:pPr>
                    <w:pStyle w:val="ab"/>
                    <w:spacing w:line="276" w:lineRule="auto"/>
                    <w:rPr>
                      <w:rFonts w:asciiTheme="minorHAnsi" w:hAnsiTheme="minorHAnsi"/>
                      <w:sz w:val="24"/>
                      <w:szCs w:val="24"/>
                    </w:rPr>
                  </w:pPr>
                </w:p>
                <w:p w:rsidR="006C1FF7" w:rsidRDefault="006C1FF7" w:rsidP="006C4B37">
                  <w:pPr>
                    <w:pStyle w:val="ab"/>
                    <w:spacing w:line="276" w:lineRule="auto"/>
                    <w:rPr>
                      <w:rFonts w:asciiTheme="minorHAnsi" w:hAnsiTheme="minorHAnsi"/>
                      <w:sz w:val="24"/>
                      <w:szCs w:val="24"/>
                    </w:rPr>
                  </w:pPr>
                </w:p>
                <w:p w:rsidR="006C1FF7" w:rsidRDefault="006C1FF7" w:rsidP="006C4B37">
                  <w:pPr>
                    <w:pStyle w:val="ab"/>
                    <w:spacing w:line="276" w:lineRule="auto"/>
                    <w:rPr>
                      <w:rFonts w:asciiTheme="minorHAnsi" w:hAnsiTheme="minorHAnsi"/>
                      <w:sz w:val="24"/>
                      <w:szCs w:val="24"/>
                    </w:rPr>
                  </w:pPr>
                </w:p>
                <w:p w:rsidR="00875DE9" w:rsidRPr="00B60CD5" w:rsidRDefault="006C4B37" w:rsidP="006C4B37">
                  <w:pPr>
                    <w:pStyle w:val="ab"/>
                    <w:spacing w:line="276" w:lineRule="auto"/>
                    <w:rPr>
                      <w:rFonts w:asciiTheme="minorHAnsi" w:hAnsiTheme="minorHAnsi"/>
                      <w:sz w:val="24"/>
                      <w:szCs w:val="24"/>
                    </w:rPr>
                  </w:pPr>
                  <w:r w:rsidRPr="00B60CD5">
                    <w:rPr>
                      <w:rFonts w:asciiTheme="minorHAnsi" w:hAnsiTheme="minorHAnsi"/>
                      <w:sz w:val="24"/>
                      <w:szCs w:val="24"/>
                    </w:rPr>
                    <w:t>Ευκλείδης Τσακαλώτος</w:t>
                  </w:r>
                </w:p>
              </w:tc>
            </w:tr>
            <w:tr w:rsidR="00875DE9" w:rsidRPr="00B60CD5" w:rsidTr="0062132B">
              <w:trPr>
                <w:trHeight w:val="460"/>
                <w:jc w:val="center"/>
              </w:trPr>
              <w:tc>
                <w:tcPr>
                  <w:tcW w:w="4536" w:type="dxa"/>
                </w:tcPr>
                <w:p w:rsidR="00875DE9" w:rsidRPr="00B60CD5" w:rsidRDefault="00875DE9" w:rsidP="00875DE9">
                  <w:pPr>
                    <w:pStyle w:val="ab"/>
                    <w:spacing w:line="276" w:lineRule="auto"/>
                    <w:rPr>
                      <w:rFonts w:asciiTheme="minorHAnsi" w:hAnsiTheme="minorHAnsi"/>
                      <w:sz w:val="24"/>
                      <w:szCs w:val="24"/>
                    </w:rPr>
                  </w:pPr>
                </w:p>
              </w:tc>
              <w:tc>
                <w:tcPr>
                  <w:tcW w:w="4694" w:type="dxa"/>
                </w:tcPr>
                <w:p w:rsidR="00875DE9" w:rsidRPr="00B60CD5" w:rsidRDefault="00875DE9" w:rsidP="00875DE9">
                  <w:pPr>
                    <w:pStyle w:val="ab"/>
                    <w:spacing w:line="276" w:lineRule="auto"/>
                    <w:rPr>
                      <w:rFonts w:asciiTheme="minorHAnsi" w:hAnsiTheme="minorHAnsi"/>
                      <w:sz w:val="24"/>
                      <w:szCs w:val="24"/>
                    </w:rPr>
                  </w:pPr>
                </w:p>
              </w:tc>
            </w:tr>
            <w:tr w:rsidR="00875DE9" w:rsidRPr="00B60CD5" w:rsidTr="0062132B">
              <w:trPr>
                <w:trHeight w:val="158"/>
                <w:jc w:val="center"/>
              </w:trPr>
              <w:tc>
                <w:tcPr>
                  <w:tcW w:w="4536" w:type="dxa"/>
                </w:tcPr>
                <w:p w:rsidR="00875DE9" w:rsidRPr="00B60CD5" w:rsidRDefault="00875DE9" w:rsidP="00875DE9">
                  <w:pPr>
                    <w:pStyle w:val="ab"/>
                    <w:spacing w:line="276" w:lineRule="auto"/>
                    <w:rPr>
                      <w:rFonts w:asciiTheme="minorHAnsi" w:hAnsiTheme="minorHAnsi"/>
                      <w:sz w:val="24"/>
                      <w:szCs w:val="24"/>
                    </w:rPr>
                  </w:pPr>
                </w:p>
              </w:tc>
              <w:tc>
                <w:tcPr>
                  <w:tcW w:w="4694" w:type="dxa"/>
                </w:tcPr>
                <w:p w:rsidR="00875DE9" w:rsidRPr="00B60CD5" w:rsidRDefault="00875DE9" w:rsidP="00875DE9">
                  <w:pPr>
                    <w:pStyle w:val="ab"/>
                    <w:spacing w:line="276" w:lineRule="auto"/>
                    <w:rPr>
                      <w:rFonts w:asciiTheme="minorHAnsi" w:hAnsiTheme="minorHAnsi"/>
                      <w:sz w:val="24"/>
                      <w:szCs w:val="24"/>
                    </w:rPr>
                  </w:pPr>
                </w:p>
              </w:tc>
            </w:tr>
          </w:tbl>
          <w:p w:rsidR="00BB555B" w:rsidRPr="006B271E" w:rsidRDefault="00BB555B" w:rsidP="006B271E">
            <w:pPr>
              <w:pStyle w:val="ab"/>
              <w:spacing w:line="276" w:lineRule="auto"/>
              <w:jc w:val="both"/>
              <w:rPr>
                <w:rFonts w:asciiTheme="minorHAnsi" w:hAnsiTheme="minorHAnsi"/>
              </w:rPr>
            </w:pPr>
          </w:p>
        </w:tc>
        <w:tc>
          <w:tcPr>
            <w:tcW w:w="4615" w:type="dxa"/>
          </w:tcPr>
          <w:p w:rsidR="00BB555B" w:rsidRPr="006B271E" w:rsidRDefault="00BB555B" w:rsidP="006B271E">
            <w:pPr>
              <w:pStyle w:val="ab"/>
              <w:spacing w:line="276" w:lineRule="auto"/>
              <w:jc w:val="both"/>
              <w:rPr>
                <w:rFonts w:asciiTheme="minorHAnsi" w:hAnsiTheme="minorHAnsi"/>
              </w:rPr>
            </w:pPr>
          </w:p>
        </w:tc>
      </w:tr>
      <w:tr w:rsidR="00BB555B" w:rsidRPr="006B271E" w:rsidTr="001D583E">
        <w:trPr>
          <w:trHeight w:val="472"/>
          <w:jc w:val="center"/>
        </w:trPr>
        <w:tc>
          <w:tcPr>
            <w:tcW w:w="4615" w:type="dxa"/>
          </w:tcPr>
          <w:tbl>
            <w:tblPr>
              <w:tblW w:w="9230" w:type="dxa"/>
              <w:jc w:val="center"/>
              <w:tblLook w:val="0000" w:firstRow="0" w:lastRow="0" w:firstColumn="0" w:lastColumn="0" w:noHBand="0" w:noVBand="0"/>
            </w:tblPr>
            <w:tblGrid>
              <w:gridCol w:w="4536"/>
              <w:gridCol w:w="4694"/>
            </w:tblGrid>
            <w:tr w:rsidR="00875DE9" w:rsidRPr="00875DE9" w:rsidTr="0062132B">
              <w:trPr>
                <w:trHeight w:val="460"/>
                <w:jc w:val="center"/>
              </w:trPr>
              <w:tc>
                <w:tcPr>
                  <w:tcW w:w="4536" w:type="dxa"/>
                </w:tcPr>
                <w:p w:rsidR="00875DE9" w:rsidRPr="00875DE9" w:rsidRDefault="00875DE9" w:rsidP="00875DE9">
                  <w:pPr>
                    <w:spacing w:after="0"/>
                    <w:rPr>
                      <w:rFonts w:asciiTheme="minorHAnsi" w:eastAsia="Arial" w:hAnsiTheme="minorHAnsi" w:cs="Arial"/>
                      <w:color w:val="000000"/>
                      <w:sz w:val="24"/>
                      <w:szCs w:val="24"/>
                      <w:lang w:eastAsia="el-GR"/>
                    </w:rPr>
                  </w:pPr>
                </w:p>
              </w:tc>
              <w:tc>
                <w:tcPr>
                  <w:tcW w:w="4694" w:type="dxa"/>
                </w:tcPr>
                <w:p w:rsidR="00875DE9" w:rsidRPr="00875DE9" w:rsidRDefault="00875DE9" w:rsidP="00875DE9">
                  <w:pPr>
                    <w:spacing w:after="0"/>
                    <w:rPr>
                      <w:rFonts w:asciiTheme="minorHAnsi" w:eastAsia="Arial" w:hAnsiTheme="minorHAnsi" w:cs="Arial"/>
                      <w:color w:val="000000"/>
                      <w:sz w:val="24"/>
                      <w:szCs w:val="24"/>
                      <w:lang w:eastAsia="el-GR"/>
                    </w:rPr>
                  </w:pPr>
                </w:p>
              </w:tc>
            </w:tr>
          </w:tbl>
          <w:p w:rsidR="00875DE9" w:rsidRPr="00875DE9" w:rsidRDefault="00875DE9" w:rsidP="00875DE9">
            <w:pPr>
              <w:spacing w:after="160" w:line="259" w:lineRule="auto"/>
              <w:rPr>
                <w:rFonts w:asciiTheme="minorHAnsi" w:eastAsia="Arial" w:hAnsiTheme="minorHAnsi" w:cs="Arial"/>
                <w:color w:val="000000"/>
                <w:sz w:val="24"/>
                <w:szCs w:val="24"/>
                <w:lang w:eastAsia="el-GR"/>
              </w:rPr>
            </w:pPr>
          </w:p>
          <w:p w:rsidR="00875DE9" w:rsidRPr="00875DE9" w:rsidRDefault="00875DE9" w:rsidP="00875DE9">
            <w:pPr>
              <w:spacing w:after="160" w:line="259" w:lineRule="auto"/>
              <w:rPr>
                <w:rFonts w:asciiTheme="minorHAnsi" w:eastAsia="Arial" w:hAnsiTheme="minorHAnsi" w:cs="Arial"/>
                <w:color w:val="000000"/>
                <w:sz w:val="24"/>
                <w:szCs w:val="24"/>
                <w:lang w:eastAsia="el-GR"/>
              </w:rPr>
            </w:pPr>
          </w:p>
          <w:p w:rsidR="00BB555B" w:rsidRPr="006B271E" w:rsidRDefault="00BB555B" w:rsidP="00875DE9">
            <w:pPr>
              <w:pStyle w:val="ab"/>
              <w:spacing w:line="276" w:lineRule="auto"/>
              <w:jc w:val="both"/>
              <w:rPr>
                <w:rFonts w:asciiTheme="minorHAnsi" w:hAnsiTheme="minorHAnsi"/>
              </w:rPr>
            </w:pPr>
          </w:p>
        </w:tc>
        <w:tc>
          <w:tcPr>
            <w:tcW w:w="4615" w:type="dxa"/>
          </w:tcPr>
          <w:p w:rsidR="00BB555B" w:rsidRPr="006B271E" w:rsidRDefault="00BB555B" w:rsidP="006B271E">
            <w:pPr>
              <w:pStyle w:val="ab"/>
              <w:spacing w:line="276" w:lineRule="auto"/>
              <w:jc w:val="both"/>
              <w:rPr>
                <w:rFonts w:asciiTheme="minorHAnsi" w:hAnsiTheme="minorHAnsi"/>
              </w:rPr>
            </w:pPr>
          </w:p>
        </w:tc>
      </w:tr>
      <w:tr w:rsidR="00BB555B" w:rsidRPr="006B271E" w:rsidTr="001D583E">
        <w:trPr>
          <w:trHeight w:val="479"/>
          <w:jc w:val="center"/>
        </w:trPr>
        <w:tc>
          <w:tcPr>
            <w:tcW w:w="4615" w:type="dxa"/>
          </w:tcPr>
          <w:p w:rsidR="00BB555B" w:rsidRPr="006B271E" w:rsidRDefault="00BB555B" w:rsidP="006B271E">
            <w:pPr>
              <w:pStyle w:val="ab"/>
              <w:spacing w:line="276" w:lineRule="auto"/>
              <w:jc w:val="both"/>
              <w:rPr>
                <w:rFonts w:asciiTheme="minorHAnsi" w:hAnsiTheme="minorHAnsi"/>
              </w:rPr>
            </w:pPr>
          </w:p>
        </w:tc>
        <w:tc>
          <w:tcPr>
            <w:tcW w:w="4615" w:type="dxa"/>
          </w:tcPr>
          <w:p w:rsidR="00BB555B" w:rsidRPr="006B271E" w:rsidRDefault="00BB555B" w:rsidP="006B271E">
            <w:pPr>
              <w:pStyle w:val="ab"/>
              <w:spacing w:line="276" w:lineRule="auto"/>
              <w:jc w:val="both"/>
              <w:rPr>
                <w:rFonts w:asciiTheme="minorHAnsi" w:hAnsiTheme="minorHAnsi"/>
              </w:rPr>
            </w:pPr>
          </w:p>
        </w:tc>
      </w:tr>
      <w:tr w:rsidR="00BB555B" w:rsidRPr="006B271E" w:rsidTr="001D583E">
        <w:trPr>
          <w:trHeight w:val="479"/>
          <w:jc w:val="center"/>
        </w:trPr>
        <w:tc>
          <w:tcPr>
            <w:tcW w:w="4615" w:type="dxa"/>
          </w:tcPr>
          <w:p w:rsidR="00BB555B" w:rsidRPr="006B271E" w:rsidRDefault="00BB555B" w:rsidP="006B271E">
            <w:pPr>
              <w:pStyle w:val="ab"/>
              <w:spacing w:line="276" w:lineRule="auto"/>
              <w:jc w:val="both"/>
              <w:rPr>
                <w:rFonts w:asciiTheme="minorHAnsi" w:hAnsiTheme="minorHAnsi"/>
              </w:rPr>
            </w:pPr>
          </w:p>
        </w:tc>
        <w:tc>
          <w:tcPr>
            <w:tcW w:w="4615" w:type="dxa"/>
          </w:tcPr>
          <w:p w:rsidR="00BB555B" w:rsidRPr="006B271E" w:rsidRDefault="00BB555B" w:rsidP="006B271E">
            <w:pPr>
              <w:pStyle w:val="ab"/>
              <w:spacing w:line="276" w:lineRule="auto"/>
              <w:jc w:val="both"/>
              <w:rPr>
                <w:rFonts w:asciiTheme="minorHAnsi" w:hAnsiTheme="minorHAnsi"/>
              </w:rPr>
            </w:pPr>
          </w:p>
        </w:tc>
      </w:tr>
    </w:tbl>
    <w:p w:rsidR="00BB555B" w:rsidRPr="006B271E" w:rsidRDefault="00BB555B" w:rsidP="006B271E">
      <w:pPr>
        <w:pStyle w:val="ab"/>
        <w:spacing w:line="276" w:lineRule="auto"/>
        <w:jc w:val="both"/>
        <w:rPr>
          <w:rFonts w:asciiTheme="minorHAnsi" w:hAnsiTheme="minorHAnsi"/>
          <w:bCs/>
        </w:rPr>
      </w:pPr>
    </w:p>
    <w:sectPr w:rsidR="00BB555B" w:rsidRPr="006B271E" w:rsidSect="001D583E">
      <w:footerReference w:type="default" r:id="rId8"/>
      <w:pgSz w:w="11906" w:h="16838"/>
      <w:pgMar w:top="1079" w:right="1466"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48" w:rsidRDefault="00F23048">
      <w:pPr>
        <w:spacing w:after="0" w:line="240" w:lineRule="auto"/>
      </w:pPr>
      <w:r>
        <w:separator/>
      </w:r>
    </w:p>
  </w:endnote>
  <w:endnote w:type="continuationSeparator" w:id="0">
    <w:p w:rsidR="00F23048" w:rsidRDefault="00F2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E" w:rsidRDefault="001D583E">
    <w:pPr>
      <w:pStyle w:val="a9"/>
      <w:jc w:val="right"/>
    </w:pPr>
    <w:r>
      <w:fldChar w:fldCharType="begin"/>
    </w:r>
    <w:r>
      <w:instrText xml:space="preserve"> PAGE   \* MERGEFORMAT </w:instrText>
    </w:r>
    <w:r>
      <w:fldChar w:fldCharType="separate"/>
    </w:r>
    <w:r w:rsidR="008657EE">
      <w:rPr>
        <w:noProof/>
      </w:rPr>
      <w:t>2</w:t>
    </w:r>
    <w:r>
      <w:fldChar w:fldCharType="end"/>
    </w:r>
  </w:p>
  <w:p w:rsidR="001D583E" w:rsidRDefault="001D58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48" w:rsidRDefault="00F23048">
      <w:pPr>
        <w:spacing w:after="0" w:line="240" w:lineRule="auto"/>
      </w:pPr>
      <w:r>
        <w:separator/>
      </w:r>
    </w:p>
  </w:footnote>
  <w:footnote w:type="continuationSeparator" w:id="0">
    <w:p w:rsidR="00F23048" w:rsidRDefault="00F2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930"/>
    <w:multiLevelType w:val="hybridMultilevel"/>
    <w:tmpl w:val="47B2D2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FC2210"/>
    <w:multiLevelType w:val="hybridMultilevel"/>
    <w:tmpl w:val="B34CDEC0"/>
    <w:lvl w:ilvl="0" w:tplc="0554C0F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63177A"/>
    <w:multiLevelType w:val="hybridMultilevel"/>
    <w:tmpl w:val="A2E474FE"/>
    <w:lvl w:ilvl="0" w:tplc="A97EB1E2">
      <w:start w:val="4"/>
      <w:numFmt w:val="bullet"/>
      <w:lvlText w:val="-"/>
      <w:lvlJc w:val="left"/>
      <w:pPr>
        <w:ind w:left="720" w:hanging="360"/>
      </w:pPr>
      <w:rPr>
        <w:rFonts w:ascii="Calibri" w:eastAsia="Arial"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E01282"/>
    <w:multiLevelType w:val="hybridMultilevel"/>
    <w:tmpl w:val="E0304D88"/>
    <w:lvl w:ilvl="0" w:tplc="6DD27FF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0E6B97"/>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66324F56"/>
    <w:multiLevelType w:val="hybridMultilevel"/>
    <w:tmpl w:val="A496BB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5B"/>
    <w:rsid w:val="000E3185"/>
    <w:rsid w:val="001D583E"/>
    <w:rsid w:val="001E1324"/>
    <w:rsid w:val="003A06AC"/>
    <w:rsid w:val="00406B27"/>
    <w:rsid w:val="004B16A6"/>
    <w:rsid w:val="00525FD9"/>
    <w:rsid w:val="00537C43"/>
    <w:rsid w:val="005D0F68"/>
    <w:rsid w:val="00640E31"/>
    <w:rsid w:val="00644949"/>
    <w:rsid w:val="006B271E"/>
    <w:rsid w:val="006B2A2F"/>
    <w:rsid w:val="006C1FF7"/>
    <w:rsid w:val="006C4B37"/>
    <w:rsid w:val="006D4ACF"/>
    <w:rsid w:val="00715B85"/>
    <w:rsid w:val="007362C6"/>
    <w:rsid w:val="00750EB9"/>
    <w:rsid w:val="007B5843"/>
    <w:rsid w:val="007D16AA"/>
    <w:rsid w:val="007D483B"/>
    <w:rsid w:val="007F17AE"/>
    <w:rsid w:val="008657EE"/>
    <w:rsid w:val="00871359"/>
    <w:rsid w:val="00875DE9"/>
    <w:rsid w:val="00995649"/>
    <w:rsid w:val="009F5A23"/>
    <w:rsid w:val="00B65059"/>
    <w:rsid w:val="00B966B4"/>
    <w:rsid w:val="00BB2486"/>
    <w:rsid w:val="00BB555B"/>
    <w:rsid w:val="00C02195"/>
    <w:rsid w:val="00E13DFC"/>
    <w:rsid w:val="00E45E66"/>
    <w:rsid w:val="00E66A8A"/>
    <w:rsid w:val="00E853A9"/>
    <w:rsid w:val="00EB2534"/>
    <w:rsid w:val="00F23048"/>
    <w:rsid w:val="00F72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5B"/>
    <w:pPr>
      <w:spacing w:after="200" w:line="276" w:lineRule="auto"/>
    </w:pPr>
    <w:rPr>
      <w:rFonts w:ascii="Calibri" w:eastAsia="Times New Roman" w:hAnsi="Calibri" w:cs="Times New Roman"/>
    </w:rPr>
  </w:style>
  <w:style w:type="paragraph" w:styleId="1">
    <w:name w:val="heading 1"/>
    <w:basedOn w:val="10"/>
    <w:next w:val="10"/>
    <w:link w:val="1Char"/>
    <w:qFormat/>
    <w:rsid w:val="00BB555B"/>
    <w:pPr>
      <w:keepNext/>
      <w:keepLines/>
      <w:spacing w:before="480" w:after="120"/>
      <w:contextualSpacing/>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555B"/>
    <w:rPr>
      <w:rFonts w:ascii="Cambria" w:eastAsia="Times New Roman" w:hAnsi="Cambria" w:cs="Times New Roman"/>
      <w:b/>
      <w:bCs/>
      <w:color w:val="000000"/>
      <w:kern w:val="32"/>
      <w:sz w:val="32"/>
      <w:szCs w:val="32"/>
      <w:lang w:eastAsia="el-GR"/>
    </w:rPr>
  </w:style>
  <w:style w:type="paragraph" w:customStyle="1" w:styleId="Default">
    <w:name w:val="Default"/>
    <w:rsid w:val="00BB555B"/>
    <w:pPr>
      <w:autoSpaceDE w:val="0"/>
      <w:autoSpaceDN w:val="0"/>
      <w:adjustRightInd w:val="0"/>
      <w:spacing w:after="0" w:line="240" w:lineRule="auto"/>
    </w:pPr>
    <w:rPr>
      <w:rFonts w:ascii="Verdana" w:eastAsia="Calibri" w:hAnsi="Verdana" w:cs="Verdana"/>
      <w:color w:val="000000"/>
      <w:sz w:val="24"/>
      <w:szCs w:val="24"/>
      <w:lang w:eastAsia="el-GR"/>
    </w:rPr>
  </w:style>
  <w:style w:type="character" w:styleId="a3">
    <w:name w:val="annotation reference"/>
    <w:rsid w:val="00BB555B"/>
    <w:rPr>
      <w:rFonts w:cs="Times New Roman"/>
      <w:sz w:val="16"/>
    </w:rPr>
  </w:style>
  <w:style w:type="paragraph" w:styleId="a4">
    <w:name w:val="annotation text"/>
    <w:basedOn w:val="a"/>
    <w:link w:val="Char"/>
    <w:rsid w:val="00BB555B"/>
    <w:pPr>
      <w:spacing w:after="0" w:line="240" w:lineRule="auto"/>
    </w:pPr>
    <w:rPr>
      <w:rFonts w:ascii="Times New Roman" w:eastAsia="Calibri" w:hAnsi="Times New Roman"/>
      <w:sz w:val="20"/>
      <w:szCs w:val="20"/>
      <w:lang w:val="x-none" w:eastAsia="el-GR"/>
    </w:rPr>
  </w:style>
  <w:style w:type="character" w:customStyle="1" w:styleId="Char">
    <w:name w:val="Κείμενο σχολίου Char"/>
    <w:basedOn w:val="a0"/>
    <w:link w:val="a4"/>
    <w:rsid w:val="00BB555B"/>
    <w:rPr>
      <w:rFonts w:ascii="Times New Roman" w:eastAsia="Calibri" w:hAnsi="Times New Roman" w:cs="Times New Roman"/>
      <w:sz w:val="20"/>
      <w:szCs w:val="20"/>
      <w:lang w:val="x-none" w:eastAsia="el-GR"/>
    </w:rPr>
  </w:style>
  <w:style w:type="paragraph" w:styleId="a5">
    <w:name w:val="Balloon Text"/>
    <w:basedOn w:val="a"/>
    <w:link w:val="Char0"/>
    <w:semiHidden/>
    <w:rsid w:val="00BB555B"/>
    <w:pPr>
      <w:spacing w:after="0" w:line="240" w:lineRule="auto"/>
    </w:pPr>
    <w:rPr>
      <w:rFonts w:ascii="Tahoma" w:eastAsia="Calibri" w:hAnsi="Tahoma"/>
      <w:sz w:val="16"/>
      <w:szCs w:val="16"/>
      <w:lang w:val="x-none" w:eastAsia="x-none"/>
    </w:rPr>
  </w:style>
  <w:style w:type="character" w:customStyle="1" w:styleId="Char0">
    <w:name w:val="Κείμενο πλαισίου Char"/>
    <w:basedOn w:val="a0"/>
    <w:link w:val="a5"/>
    <w:semiHidden/>
    <w:rsid w:val="00BB555B"/>
    <w:rPr>
      <w:rFonts w:ascii="Tahoma" w:eastAsia="Calibri" w:hAnsi="Tahoma" w:cs="Times New Roman"/>
      <w:sz w:val="16"/>
      <w:szCs w:val="16"/>
      <w:lang w:val="x-none" w:eastAsia="x-none"/>
    </w:rPr>
  </w:style>
  <w:style w:type="paragraph" w:customStyle="1" w:styleId="ListParagraph1">
    <w:name w:val="List Paragraph1"/>
    <w:basedOn w:val="a"/>
    <w:rsid w:val="00BB555B"/>
    <w:pPr>
      <w:ind w:left="720"/>
      <w:contextualSpacing/>
    </w:pPr>
  </w:style>
  <w:style w:type="paragraph" w:styleId="a6">
    <w:name w:val="annotation subject"/>
    <w:basedOn w:val="a4"/>
    <w:next w:val="a4"/>
    <w:link w:val="Char1"/>
    <w:semiHidden/>
    <w:rsid w:val="00BB555B"/>
    <w:pPr>
      <w:spacing w:after="200"/>
    </w:pPr>
    <w:rPr>
      <w:b/>
      <w:bCs/>
    </w:rPr>
  </w:style>
  <w:style w:type="character" w:customStyle="1" w:styleId="Char1">
    <w:name w:val="Θέμα σχολίου Char"/>
    <w:basedOn w:val="Char"/>
    <w:link w:val="a6"/>
    <w:semiHidden/>
    <w:rsid w:val="00BB555B"/>
    <w:rPr>
      <w:rFonts w:ascii="Times New Roman" w:eastAsia="Calibri" w:hAnsi="Times New Roman" w:cs="Times New Roman"/>
      <w:b/>
      <w:bCs/>
      <w:sz w:val="20"/>
      <w:szCs w:val="20"/>
      <w:lang w:val="x-none" w:eastAsia="el-GR"/>
    </w:rPr>
  </w:style>
  <w:style w:type="character" w:customStyle="1" w:styleId="CharChar2">
    <w:name w:val="Char Char2"/>
    <w:basedOn w:val="a0"/>
    <w:rsid w:val="00BB555B"/>
  </w:style>
  <w:style w:type="table" w:styleId="a7">
    <w:name w:val="Table Grid"/>
    <w:basedOn w:val="a1"/>
    <w:rsid w:val="00BB555B"/>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2"/>
    <w:rsid w:val="00BB555B"/>
    <w:pPr>
      <w:tabs>
        <w:tab w:val="center" w:pos="4513"/>
        <w:tab w:val="right" w:pos="9026"/>
      </w:tabs>
    </w:pPr>
  </w:style>
  <w:style w:type="character" w:customStyle="1" w:styleId="Char2">
    <w:name w:val="Κεφαλίδα Char"/>
    <w:basedOn w:val="a0"/>
    <w:link w:val="a8"/>
    <w:rsid w:val="00BB555B"/>
    <w:rPr>
      <w:rFonts w:ascii="Calibri" w:eastAsia="Times New Roman" w:hAnsi="Calibri" w:cs="Times New Roman"/>
    </w:rPr>
  </w:style>
  <w:style w:type="paragraph" w:styleId="a9">
    <w:name w:val="footer"/>
    <w:basedOn w:val="a"/>
    <w:link w:val="Char3"/>
    <w:uiPriority w:val="99"/>
    <w:rsid w:val="00BB555B"/>
    <w:pPr>
      <w:tabs>
        <w:tab w:val="center" w:pos="4513"/>
        <w:tab w:val="right" w:pos="9026"/>
      </w:tabs>
    </w:pPr>
  </w:style>
  <w:style w:type="character" w:customStyle="1" w:styleId="Char3">
    <w:name w:val="Υποσέλιδο Char"/>
    <w:basedOn w:val="a0"/>
    <w:link w:val="a9"/>
    <w:uiPriority w:val="99"/>
    <w:rsid w:val="00BB555B"/>
    <w:rPr>
      <w:rFonts w:ascii="Calibri" w:eastAsia="Times New Roman" w:hAnsi="Calibri" w:cs="Times New Roman"/>
    </w:rPr>
  </w:style>
  <w:style w:type="paragraph" w:customStyle="1" w:styleId="10">
    <w:name w:val="Βασικό1"/>
    <w:uiPriority w:val="99"/>
    <w:rsid w:val="00BB555B"/>
    <w:pPr>
      <w:spacing w:after="0" w:line="276" w:lineRule="auto"/>
    </w:pPr>
    <w:rPr>
      <w:rFonts w:ascii="Arial" w:eastAsia="Arial" w:hAnsi="Arial" w:cs="Arial"/>
      <w:color w:val="000000"/>
      <w:lang w:eastAsia="el-GR"/>
    </w:rPr>
  </w:style>
  <w:style w:type="paragraph" w:styleId="-HTML">
    <w:name w:val="HTML Preformatted"/>
    <w:basedOn w:val="a"/>
    <w:link w:val="-HTMLChar"/>
    <w:uiPriority w:val="99"/>
    <w:rsid w:val="00BB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lang w:eastAsia="el-GR"/>
    </w:rPr>
  </w:style>
  <w:style w:type="character" w:customStyle="1" w:styleId="-HTMLChar">
    <w:name w:val="Προ-διαμορφωμένο HTML Char"/>
    <w:basedOn w:val="a0"/>
    <w:link w:val="-HTML"/>
    <w:uiPriority w:val="99"/>
    <w:rsid w:val="00BB555B"/>
    <w:rPr>
      <w:rFonts w:ascii="Courier New" w:eastAsia="Arial" w:hAnsi="Courier New" w:cs="Courier New"/>
      <w:sz w:val="20"/>
      <w:szCs w:val="20"/>
      <w:lang w:eastAsia="el-GR"/>
    </w:rPr>
  </w:style>
  <w:style w:type="character" w:customStyle="1" w:styleId="HTMLPreformattedChar">
    <w:name w:val="HTML Preformatted Char"/>
    <w:basedOn w:val="a0"/>
    <w:semiHidden/>
    <w:locked/>
    <w:rsid w:val="00BB555B"/>
    <w:rPr>
      <w:rFonts w:ascii="Courier New" w:hAnsi="Courier New" w:cs="Courier New"/>
      <w:color w:val="000000"/>
      <w:sz w:val="20"/>
      <w:szCs w:val="20"/>
    </w:rPr>
  </w:style>
  <w:style w:type="paragraph" w:styleId="aa">
    <w:name w:val="Body Text"/>
    <w:basedOn w:val="a"/>
    <w:link w:val="Char4"/>
    <w:rsid w:val="00BB555B"/>
    <w:pPr>
      <w:spacing w:after="120" w:line="240" w:lineRule="auto"/>
    </w:pPr>
    <w:rPr>
      <w:rFonts w:ascii="Times New Roman" w:hAnsi="Times New Roman"/>
      <w:sz w:val="24"/>
      <w:szCs w:val="24"/>
      <w:lang w:eastAsia="el-GR"/>
    </w:rPr>
  </w:style>
  <w:style w:type="character" w:customStyle="1" w:styleId="Char4">
    <w:name w:val="Σώμα κειμένου Char"/>
    <w:basedOn w:val="a0"/>
    <w:link w:val="aa"/>
    <w:rsid w:val="00BB555B"/>
    <w:rPr>
      <w:rFonts w:ascii="Times New Roman" w:eastAsia="Times New Roman" w:hAnsi="Times New Roman" w:cs="Times New Roman"/>
      <w:sz w:val="24"/>
      <w:szCs w:val="24"/>
      <w:lang w:eastAsia="el-GR"/>
    </w:rPr>
  </w:style>
  <w:style w:type="paragraph" w:customStyle="1" w:styleId="ecxmsonormal">
    <w:name w:val="ecxmsonormal"/>
    <w:basedOn w:val="a"/>
    <w:rsid w:val="00BB555B"/>
    <w:pPr>
      <w:spacing w:before="100" w:beforeAutospacing="1" w:after="100" w:afterAutospacing="1" w:line="240" w:lineRule="auto"/>
    </w:pPr>
    <w:rPr>
      <w:rFonts w:ascii="Times New Roman" w:hAnsi="Times New Roman"/>
      <w:sz w:val="24"/>
      <w:szCs w:val="24"/>
      <w:lang w:eastAsia="el-GR"/>
    </w:rPr>
  </w:style>
  <w:style w:type="paragraph" w:styleId="ab">
    <w:name w:val="No Spacing"/>
    <w:uiPriority w:val="1"/>
    <w:qFormat/>
    <w:rsid w:val="009F5A23"/>
    <w:pPr>
      <w:spacing w:after="0" w:line="240" w:lineRule="auto"/>
    </w:pPr>
    <w:rPr>
      <w:rFonts w:ascii="Arial" w:eastAsia="Arial" w:hAnsi="Arial" w:cs="Arial"/>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5B"/>
    <w:pPr>
      <w:spacing w:after="200" w:line="276" w:lineRule="auto"/>
    </w:pPr>
    <w:rPr>
      <w:rFonts w:ascii="Calibri" w:eastAsia="Times New Roman" w:hAnsi="Calibri" w:cs="Times New Roman"/>
    </w:rPr>
  </w:style>
  <w:style w:type="paragraph" w:styleId="1">
    <w:name w:val="heading 1"/>
    <w:basedOn w:val="10"/>
    <w:next w:val="10"/>
    <w:link w:val="1Char"/>
    <w:qFormat/>
    <w:rsid w:val="00BB555B"/>
    <w:pPr>
      <w:keepNext/>
      <w:keepLines/>
      <w:spacing w:before="480" w:after="120"/>
      <w:contextualSpacing/>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555B"/>
    <w:rPr>
      <w:rFonts w:ascii="Cambria" w:eastAsia="Times New Roman" w:hAnsi="Cambria" w:cs="Times New Roman"/>
      <w:b/>
      <w:bCs/>
      <w:color w:val="000000"/>
      <w:kern w:val="32"/>
      <w:sz w:val="32"/>
      <w:szCs w:val="32"/>
      <w:lang w:eastAsia="el-GR"/>
    </w:rPr>
  </w:style>
  <w:style w:type="paragraph" w:customStyle="1" w:styleId="Default">
    <w:name w:val="Default"/>
    <w:rsid w:val="00BB555B"/>
    <w:pPr>
      <w:autoSpaceDE w:val="0"/>
      <w:autoSpaceDN w:val="0"/>
      <w:adjustRightInd w:val="0"/>
      <w:spacing w:after="0" w:line="240" w:lineRule="auto"/>
    </w:pPr>
    <w:rPr>
      <w:rFonts w:ascii="Verdana" w:eastAsia="Calibri" w:hAnsi="Verdana" w:cs="Verdana"/>
      <w:color w:val="000000"/>
      <w:sz w:val="24"/>
      <w:szCs w:val="24"/>
      <w:lang w:eastAsia="el-GR"/>
    </w:rPr>
  </w:style>
  <w:style w:type="character" w:styleId="a3">
    <w:name w:val="annotation reference"/>
    <w:rsid w:val="00BB555B"/>
    <w:rPr>
      <w:rFonts w:cs="Times New Roman"/>
      <w:sz w:val="16"/>
    </w:rPr>
  </w:style>
  <w:style w:type="paragraph" w:styleId="a4">
    <w:name w:val="annotation text"/>
    <w:basedOn w:val="a"/>
    <w:link w:val="Char"/>
    <w:rsid w:val="00BB555B"/>
    <w:pPr>
      <w:spacing w:after="0" w:line="240" w:lineRule="auto"/>
    </w:pPr>
    <w:rPr>
      <w:rFonts w:ascii="Times New Roman" w:eastAsia="Calibri" w:hAnsi="Times New Roman"/>
      <w:sz w:val="20"/>
      <w:szCs w:val="20"/>
      <w:lang w:val="x-none" w:eastAsia="el-GR"/>
    </w:rPr>
  </w:style>
  <w:style w:type="character" w:customStyle="1" w:styleId="Char">
    <w:name w:val="Κείμενο σχολίου Char"/>
    <w:basedOn w:val="a0"/>
    <w:link w:val="a4"/>
    <w:rsid w:val="00BB555B"/>
    <w:rPr>
      <w:rFonts w:ascii="Times New Roman" w:eastAsia="Calibri" w:hAnsi="Times New Roman" w:cs="Times New Roman"/>
      <w:sz w:val="20"/>
      <w:szCs w:val="20"/>
      <w:lang w:val="x-none" w:eastAsia="el-GR"/>
    </w:rPr>
  </w:style>
  <w:style w:type="paragraph" w:styleId="a5">
    <w:name w:val="Balloon Text"/>
    <w:basedOn w:val="a"/>
    <w:link w:val="Char0"/>
    <w:semiHidden/>
    <w:rsid w:val="00BB555B"/>
    <w:pPr>
      <w:spacing w:after="0" w:line="240" w:lineRule="auto"/>
    </w:pPr>
    <w:rPr>
      <w:rFonts w:ascii="Tahoma" w:eastAsia="Calibri" w:hAnsi="Tahoma"/>
      <w:sz w:val="16"/>
      <w:szCs w:val="16"/>
      <w:lang w:val="x-none" w:eastAsia="x-none"/>
    </w:rPr>
  </w:style>
  <w:style w:type="character" w:customStyle="1" w:styleId="Char0">
    <w:name w:val="Κείμενο πλαισίου Char"/>
    <w:basedOn w:val="a0"/>
    <w:link w:val="a5"/>
    <w:semiHidden/>
    <w:rsid w:val="00BB555B"/>
    <w:rPr>
      <w:rFonts w:ascii="Tahoma" w:eastAsia="Calibri" w:hAnsi="Tahoma" w:cs="Times New Roman"/>
      <w:sz w:val="16"/>
      <w:szCs w:val="16"/>
      <w:lang w:val="x-none" w:eastAsia="x-none"/>
    </w:rPr>
  </w:style>
  <w:style w:type="paragraph" w:customStyle="1" w:styleId="ListParagraph1">
    <w:name w:val="List Paragraph1"/>
    <w:basedOn w:val="a"/>
    <w:rsid w:val="00BB555B"/>
    <w:pPr>
      <w:ind w:left="720"/>
      <w:contextualSpacing/>
    </w:pPr>
  </w:style>
  <w:style w:type="paragraph" w:styleId="a6">
    <w:name w:val="annotation subject"/>
    <w:basedOn w:val="a4"/>
    <w:next w:val="a4"/>
    <w:link w:val="Char1"/>
    <w:semiHidden/>
    <w:rsid w:val="00BB555B"/>
    <w:pPr>
      <w:spacing w:after="200"/>
    </w:pPr>
    <w:rPr>
      <w:b/>
      <w:bCs/>
    </w:rPr>
  </w:style>
  <w:style w:type="character" w:customStyle="1" w:styleId="Char1">
    <w:name w:val="Θέμα σχολίου Char"/>
    <w:basedOn w:val="Char"/>
    <w:link w:val="a6"/>
    <w:semiHidden/>
    <w:rsid w:val="00BB555B"/>
    <w:rPr>
      <w:rFonts w:ascii="Times New Roman" w:eastAsia="Calibri" w:hAnsi="Times New Roman" w:cs="Times New Roman"/>
      <w:b/>
      <w:bCs/>
      <w:sz w:val="20"/>
      <w:szCs w:val="20"/>
      <w:lang w:val="x-none" w:eastAsia="el-GR"/>
    </w:rPr>
  </w:style>
  <w:style w:type="character" w:customStyle="1" w:styleId="CharChar2">
    <w:name w:val="Char Char2"/>
    <w:basedOn w:val="a0"/>
    <w:rsid w:val="00BB555B"/>
  </w:style>
  <w:style w:type="table" w:styleId="a7">
    <w:name w:val="Table Grid"/>
    <w:basedOn w:val="a1"/>
    <w:rsid w:val="00BB555B"/>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2"/>
    <w:rsid w:val="00BB555B"/>
    <w:pPr>
      <w:tabs>
        <w:tab w:val="center" w:pos="4513"/>
        <w:tab w:val="right" w:pos="9026"/>
      </w:tabs>
    </w:pPr>
  </w:style>
  <w:style w:type="character" w:customStyle="1" w:styleId="Char2">
    <w:name w:val="Κεφαλίδα Char"/>
    <w:basedOn w:val="a0"/>
    <w:link w:val="a8"/>
    <w:rsid w:val="00BB555B"/>
    <w:rPr>
      <w:rFonts w:ascii="Calibri" w:eastAsia="Times New Roman" w:hAnsi="Calibri" w:cs="Times New Roman"/>
    </w:rPr>
  </w:style>
  <w:style w:type="paragraph" w:styleId="a9">
    <w:name w:val="footer"/>
    <w:basedOn w:val="a"/>
    <w:link w:val="Char3"/>
    <w:uiPriority w:val="99"/>
    <w:rsid w:val="00BB555B"/>
    <w:pPr>
      <w:tabs>
        <w:tab w:val="center" w:pos="4513"/>
        <w:tab w:val="right" w:pos="9026"/>
      </w:tabs>
    </w:pPr>
  </w:style>
  <w:style w:type="character" w:customStyle="1" w:styleId="Char3">
    <w:name w:val="Υποσέλιδο Char"/>
    <w:basedOn w:val="a0"/>
    <w:link w:val="a9"/>
    <w:uiPriority w:val="99"/>
    <w:rsid w:val="00BB555B"/>
    <w:rPr>
      <w:rFonts w:ascii="Calibri" w:eastAsia="Times New Roman" w:hAnsi="Calibri" w:cs="Times New Roman"/>
    </w:rPr>
  </w:style>
  <w:style w:type="paragraph" w:customStyle="1" w:styleId="10">
    <w:name w:val="Βασικό1"/>
    <w:uiPriority w:val="99"/>
    <w:rsid w:val="00BB555B"/>
    <w:pPr>
      <w:spacing w:after="0" w:line="276" w:lineRule="auto"/>
    </w:pPr>
    <w:rPr>
      <w:rFonts w:ascii="Arial" w:eastAsia="Arial" w:hAnsi="Arial" w:cs="Arial"/>
      <w:color w:val="000000"/>
      <w:lang w:eastAsia="el-GR"/>
    </w:rPr>
  </w:style>
  <w:style w:type="paragraph" w:styleId="-HTML">
    <w:name w:val="HTML Preformatted"/>
    <w:basedOn w:val="a"/>
    <w:link w:val="-HTMLChar"/>
    <w:uiPriority w:val="99"/>
    <w:rsid w:val="00BB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lang w:eastAsia="el-GR"/>
    </w:rPr>
  </w:style>
  <w:style w:type="character" w:customStyle="1" w:styleId="-HTMLChar">
    <w:name w:val="Προ-διαμορφωμένο HTML Char"/>
    <w:basedOn w:val="a0"/>
    <w:link w:val="-HTML"/>
    <w:uiPriority w:val="99"/>
    <w:rsid w:val="00BB555B"/>
    <w:rPr>
      <w:rFonts w:ascii="Courier New" w:eastAsia="Arial" w:hAnsi="Courier New" w:cs="Courier New"/>
      <w:sz w:val="20"/>
      <w:szCs w:val="20"/>
      <w:lang w:eastAsia="el-GR"/>
    </w:rPr>
  </w:style>
  <w:style w:type="character" w:customStyle="1" w:styleId="HTMLPreformattedChar">
    <w:name w:val="HTML Preformatted Char"/>
    <w:basedOn w:val="a0"/>
    <w:semiHidden/>
    <w:locked/>
    <w:rsid w:val="00BB555B"/>
    <w:rPr>
      <w:rFonts w:ascii="Courier New" w:hAnsi="Courier New" w:cs="Courier New"/>
      <w:color w:val="000000"/>
      <w:sz w:val="20"/>
      <w:szCs w:val="20"/>
    </w:rPr>
  </w:style>
  <w:style w:type="paragraph" w:styleId="aa">
    <w:name w:val="Body Text"/>
    <w:basedOn w:val="a"/>
    <w:link w:val="Char4"/>
    <w:rsid w:val="00BB555B"/>
    <w:pPr>
      <w:spacing w:after="120" w:line="240" w:lineRule="auto"/>
    </w:pPr>
    <w:rPr>
      <w:rFonts w:ascii="Times New Roman" w:hAnsi="Times New Roman"/>
      <w:sz w:val="24"/>
      <w:szCs w:val="24"/>
      <w:lang w:eastAsia="el-GR"/>
    </w:rPr>
  </w:style>
  <w:style w:type="character" w:customStyle="1" w:styleId="Char4">
    <w:name w:val="Σώμα κειμένου Char"/>
    <w:basedOn w:val="a0"/>
    <w:link w:val="aa"/>
    <w:rsid w:val="00BB555B"/>
    <w:rPr>
      <w:rFonts w:ascii="Times New Roman" w:eastAsia="Times New Roman" w:hAnsi="Times New Roman" w:cs="Times New Roman"/>
      <w:sz w:val="24"/>
      <w:szCs w:val="24"/>
      <w:lang w:eastAsia="el-GR"/>
    </w:rPr>
  </w:style>
  <w:style w:type="paragraph" w:customStyle="1" w:styleId="ecxmsonormal">
    <w:name w:val="ecxmsonormal"/>
    <w:basedOn w:val="a"/>
    <w:rsid w:val="00BB555B"/>
    <w:pPr>
      <w:spacing w:before="100" w:beforeAutospacing="1" w:after="100" w:afterAutospacing="1" w:line="240" w:lineRule="auto"/>
    </w:pPr>
    <w:rPr>
      <w:rFonts w:ascii="Times New Roman" w:hAnsi="Times New Roman"/>
      <w:sz w:val="24"/>
      <w:szCs w:val="24"/>
      <w:lang w:eastAsia="el-GR"/>
    </w:rPr>
  </w:style>
  <w:style w:type="paragraph" w:styleId="ab">
    <w:name w:val="No Spacing"/>
    <w:uiPriority w:val="1"/>
    <w:qFormat/>
    <w:rsid w:val="009F5A23"/>
    <w:pPr>
      <w:spacing w:after="0" w:line="240" w:lineRule="auto"/>
    </w:pPr>
    <w:rPr>
      <w:rFonts w:ascii="Arial" w:eastAsia="Arial"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13879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Πάυλοβιτς Γιάννης</dc:creator>
  <cp:lastModifiedBy>Enikos Default User</cp:lastModifiedBy>
  <cp:revision>2</cp:revision>
  <dcterms:created xsi:type="dcterms:W3CDTF">2015-10-19T17:01:00Z</dcterms:created>
  <dcterms:modified xsi:type="dcterms:W3CDTF">2015-10-19T17:01:00Z</dcterms:modified>
</cp:coreProperties>
</file>